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DIP. INGRID DEL PILAR SANTOS DÍAZ</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PRESIDENTA DE LA MESA DIRECTIVA DEL </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CONGRESO DEL ESTADO DE YUCATÁN </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rsidR="00F8402E" w:rsidRDefault="00F8402E">
      <w:pPr>
        <w:pBdr>
          <w:top w:val="nil"/>
          <w:left w:val="nil"/>
          <w:bottom w:val="nil"/>
          <w:right w:val="nil"/>
          <w:between w:val="nil"/>
        </w:pBdr>
        <w:shd w:val="clear" w:color="auto" w:fill="FFFFFF"/>
        <w:spacing w:after="0" w:line="240" w:lineRule="auto"/>
        <w:ind w:right="283"/>
        <w:jc w:val="both"/>
        <w:rPr>
          <w:rFonts w:ascii="Century Gothic" w:eastAsia="Century Gothic" w:hAnsi="Century Gothic" w:cs="Century Gothic"/>
          <w:b/>
          <w:sz w:val="24"/>
          <w:szCs w:val="24"/>
        </w:rPr>
      </w:pPr>
    </w:p>
    <w:p w:rsidR="00F8402E" w:rsidRDefault="00A16E25">
      <w:pPr>
        <w:pBdr>
          <w:top w:val="nil"/>
          <w:left w:val="nil"/>
          <w:bottom w:val="nil"/>
          <w:right w:val="nil"/>
          <w:between w:val="nil"/>
        </w:pBdr>
        <w:shd w:val="clear" w:color="auto" w:fill="FFFFFF"/>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que suscriben, Diputa Melba</w:t>
      </w:r>
      <w:r w:rsidR="00AD26C9">
        <w:rPr>
          <w:rFonts w:ascii="Century Gothic" w:eastAsia="Century Gothic" w:hAnsi="Century Gothic" w:cs="Century Gothic"/>
          <w:sz w:val="24"/>
          <w:szCs w:val="24"/>
        </w:rPr>
        <w:t xml:space="preserve"> Rosana</w:t>
      </w:r>
      <w:r>
        <w:rPr>
          <w:rFonts w:ascii="Century Gothic" w:eastAsia="Century Gothic" w:hAnsi="Century Gothic" w:cs="Century Gothic"/>
          <w:sz w:val="24"/>
          <w:szCs w:val="24"/>
        </w:rPr>
        <w:t xml:space="preserve"> Gambo</w:t>
      </w:r>
      <w:r w:rsidR="00AD26C9">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Ávila, Diputada C</w:t>
      </w:r>
      <w:r w:rsidR="00AD26C9">
        <w:rPr>
          <w:rFonts w:ascii="Century Gothic" w:eastAsia="Century Gothic" w:hAnsi="Century Gothic" w:cs="Century Gothic"/>
          <w:sz w:val="24"/>
          <w:szCs w:val="24"/>
        </w:rPr>
        <w:t>armen Guadalupe</w:t>
      </w:r>
      <w:r>
        <w:rPr>
          <w:rFonts w:ascii="Century Gothic" w:eastAsia="Century Gothic" w:hAnsi="Century Gothic" w:cs="Century Gothic"/>
          <w:sz w:val="24"/>
          <w:szCs w:val="24"/>
        </w:rPr>
        <w:t xml:space="preserve"> González Martín, Diputada Dafne</w:t>
      </w:r>
      <w:r w:rsidR="00AD26C9">
        <w:rPr>
          <w:rFonts w:ascii="Century Gothic" w:eastAsia="Century Gothic" w:hAnsi="Century Gothic" w:cs="Century Gothic"/>
          <w:sz w:val="24"/>
          <w:szCs w:val="24"/>
        </w:rPr>
        <w:t xml:space="preserve"> Celina</w:t>
      </w:r>
      <w:r>
        <w:rPr>
          <w:rFonts w:ascii="Century Gothic" w:eastAsia="Century Gothic" w:hAnsi="Century Gothic" w:cs="Century Gothic"/>
          <w:sz w:val="24"/>
          <w:szCs w:val="24"/>
        </w:rPr>
        <w:t xml:space="preserve"> López Osorio, Diputada Manuela</w:t>
      </w:r>
      <w:r w:rsidR="00AD26C9">
        <w:rPr>
          <w:rFonts w:ascii="Century Gothic" w:eastAsia="Century Gothic" w:hAnsi="Century Gothic" w:cs="Century Gothic"/>
          <w:sz w:val="24"/>
          <w:szCs w:val="24"/>
        </w:rPr>
        <w:t xml:space="preserve"> de Jesús</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Cocom</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Bolio</w:t>
      </w:r>
      <w:proofErr w:type="spellEnd"/>
      <w:r w:rsidR="00F4774C">
        <w:rPr>
          <w:rFonts w:ascii="Century Gothic" w:eastAsia="Century Gothic" w:hAnsi="Century Gothic" w:cs="Century Gothic"/>
          <w:sz w:val="24"/>
          <w:szCs w:val="24"/>
        </w:rPr>
        <w:t>, Diputadas del Partido Acción Nacional de la LXIII Legislatura de este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del Estado someto a co</w:t>
      </w:r>
      <w:r w:rsidR="00AD26C9">
        <w:rPr>
          <w:rFonts w:ascii="Century Gothic" w:eastAsia="Century Gothic" w:hAnsi="Century Gothic" w:cs="Century Gothic"/>
          <w:sz w:val="24"/>
          <w:szCs w:val="24"/>
        </w:rPr>
        <w:t>nsideración de esta Soberanía el</w:t>
      </w:r>
      <w:r w:rsidR="00F4774C">
        <w:rPr>
          <w:rFonts w:ascii="Century Gothic" w:eastAsia="Century Gothic" w:hAnsi="Century Gothic" w:cs="Century Gothic"/>
          <w:sz w:val="24"/>
          <w:szCs w:val="24"/>
        </w:rPr>
        <w:t xml:space="preserve"> presente: </w:t>
      </w:r>
      <w:r w:rsidR="00F4774C">
        <w:rPr>
          <w:rFonts w:ascii="Century Gothic" w:eastAsia="Century Gothic" w:hAnsi="Century Gothic" w:cs="Century Gothic"/>
          <w:b/>
          <w:sz w:val="24"/>
          <w:szCs w:val="24"/>
        </w:rPr>
        <w:t xml:space="preserve">PROYECTO DE DECRETO POR EL QUE SE REFORMA LOS ARTÍCULOS 352, 353 Y SE ADICIONA EL ARTÍCULO 355 BIS TODOS DEL CÓDIGO PENAL DEL ESTADO DE YUCATÁN ADEMÁS SE REFORMA EL ARTÍCULO 34, SE ADICIONA LA FRACCIÓN VI BIS AL ARTÍCULO 57, SE ADICIONA LA FRACCIÓN V BIS DEL ARTÍCULO 308, TODOS DEL CÓDIGO DE FAMILIA DEL ESTADO DE YUCATÁN  </w:t>
      </w:r>
      <w:r w:rsidR="00F4774C">
        <w:rPr>
          <w:rFonts w:ascii="Century Gothic" w:eastAsia="Century Gothic" w:hAnsi="Century Gothic" w:cs="Century Gothic"/>
          <w:sz w:val="24"/>
          <w:szCs w:val="24"/>
        </w:rPr>
        <w:t>al tenor de la siguiente:</w:t>
      </w:r>
    </w:p>
    <w:p w:rsidR="00F8402E" w:rsidRDefault="00F8402E">
      <w:pPr>
        <w:pBdr>
          <w:top w:val="nil"/>
          <w:left w:val="nil"/>
          <w:bottom w:val="nil"/>
          <w:right w:val="nil"/>
          <w:between w:val="nil"/>
        </w:pBdr>
        <w:shd w:val="clear" w:color="auto" w:fill="FFFFFF"/>
        <w:spacing w:after="0" w:line="240" w:lineRule="auto"/>
        <w:ind w:right="283" w:firstLine="708"/>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tabs>
          <w:tab w:val="left" w:pos="180"/>
          <w:tab w:val="center" w:pos="4819"/>
        </w:tabs>
        <w:spacing w:after="0" w:line="240" w:lineRule="auto"/>
        <w:ind w:right="283"/>
        <w:rPr>
          <w:rFonts w:ascii="Century Gothic" w:eastAsia="Century Gothic" w:hAnsi="Century Gothic" w:cs="Century Gothic"/>
          <w:b/>
          <w:sz w:val="24"/>
          <w:szCs w:val="24"/>
        </w:rPr>
      </w:pP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EXPOSICIÓN DE MOTIVOS</w:t>
      </w:r>
    </w:p>
    <w:p w:rsidR="00F8402E" w:rsidRDefault="00F8402E">
      <w:pPr>
        <w:pBdr>
          <w:top w:val="nil"/>
          <w:left w:val="nil"/>
          <w:bottom w:val="nil"/>
          <w:right w:val="nil"/>
          <w:between w:val="nil"/>
        </w:pBdr>
        <w:shd w:val="clear" w:color="auto" w:fill="FFFFFF"/>
        <w:spacing w:after="0" w:line="240" w:lineRule="auto"/>
        <w:ind w:right="283"/>
        <w:jc w:val="center"/>
        <w:rPr>
          <w:rFonts w:ascii="Century Gothic" w:eastAsia="Century Gothic" w:hAnsi="Century Gothic" w:cs="Century Gothic"/>
          <w:sz w:val="24"/>
          <w:szCs w:val="24"/>
          <w:highlight w:val="yellow"/>
        </w:rPr>
      </w:pPr>
    </w:p>
    <w:p w:rsidR="00F8402E" w:rsidRDefault="00F4774C">
      <w:pPr>
        <w:pBdr>
          <w:top w:val="nil"/>
          <w:left w:val="nil"/>
          <w:bottom w:val="nil"/>
          <w:right w:val="nil"/>
          <w:between w:val="nil"/>
        </w:pBdr>
        <w:shd w:val="clear" w:color="auto" w:fill="FFFFFF"/>
        <w:spacing w:after="0" w:line="240" w:lineRule="auto"/>
        <w:ind w:righ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La familia es la célula principal de la sociedad, es donde los seres humanos aprendemos los valores y la práctica de estos, constituyendo la base fundamental para el desarrollo y progreso de la sociedad.</w:t>
      </w:r>
    </w:p>
    <w:p w:rsidR="00F8402E" w:rsidRDefault="00AD26C9">
      <w:pPr>
        <w:pBdr>
          <w:top w:val="nil"/>
          <w:left w:val="nil"/>
          <w:bottom w:val="nil"/>
          <w:right w:val="nil"/>
          <w:between w:val="nil"/>
        </w:pBdr>
        <w:shd w:val="clear" w:color="auto" w:fill="FFFFFF"/>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tal efecto, </w:t>
      </w:r>
      <w:proofErr w:type="spellStart"/>
      <w:r w:rsidR="00F4774C">
        <w:rPr>
          <w:rFonts w:ascii="Century Gothic" w:eastAsia="Century Gothic" w:hAnsi="Century Gothic" w:cs="Century Gothic"/>
          <w:sz w:val="24"/>
          <w:szCs w:val="24"/>
        </w:rPr>
        <w:t>Ia</w:t>
      </w:r>
      <w:proofErr w:type="spellEnd"/>
      <w:r w:rsidR="00F4774C">
        <w:rPr>
          <w:rFonts w:ascii="Century Gothic" w:eastAsia="Century Gothic" w:hAnsi="Century Gothic" w:cs="Century Gothic"/>
          <w:sz w:val="24"/>
          <w:szCs w:val="24"/>
        </w:rPr>
        <w:t xml:space="preserve"> Declaración Universal de los Derechos Humanos, señala cuáles son los derechos humanos de las personas, reconociendo en su artículo 16 la importancia de la familia como elemento natural y fundamental de la sociedad y que tiene derecho a la protección de la sociedad y del Estado</w:t>
      </w:r>
      <w:r w:rsidR="00F4774C">
        <w:rPr>
          <w:rFonts w:ascii="Century Gothic" w:eastAsia="Century Gothic" w:hAnsi="Century Gothic" w:cs="Century Gothic"/>
          <w:sz w:val="24"/>
          <w:szCs w:val="24"/>
          <w:vertAlign w:val="superscript"/>
        </w:rPr>
        <w:footnoteReference w:id="1"/>
      </w:r>
      <w:r w:rsidR="00F4774C">
        <w:rPr>
          <w:rFonts w:ascii="Century Gothic" w:eastAsia="Century Gothic" w:hAnsi="Century Gothic" w:cs="Century Gothic"/>
          <w:sz w:val="24"/>
          <w:szCs w:val="24"/>
        </w:rPr>
        <w:t>.</w:t>
      </w:r>
    </w:p>
    <w:p w:rsidR="00F8402E" w:rsidRDefault="00F4774C">
      <w:pPr>
        <w:pBdr>
          <w:top w:val="nil"/>
          <w:left w:val="nil"/>
          <w:bottom w:val="nil"/>
          <w:right w:val="nil"/>
          <w:between w:val="nil"/>
        </w:pBdr>
        <w:shd w:val="clear" w:color="auto" w:fill="FFFFFF"/>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bien, el entendimiento universal revela que cada uno de los y las integrantes de la familia es merecedor (a) de la protección a la que se hace referencia en el párrafo anterior, hoy en día la realidad es otra. La presencia de estereotipos de género en la familia, desde las primeras expresiones de estos núcleos, generan un desequilibrio de oportunidades y una sobrecarga de </w:t>
      </w:r>
      <w:r>
        <w:rPr>
          <w:rFonts w:ascii="Century Gothic" w:eastAsia="Century Gothic" w:hAnsi="Century Gothic" w:cs="Century Gothic"/>
          <w:sz w:val="24"/>
          <w:szCs w:val="24"/>
        </w:rPr>
        <w:lastRenderedPageBreak/>
        <w:t>obligaciones entre sus miembros; no es novedad que, históricamente, los hombres, padres de familia, ocupan un lugar privilegiado dentro de la composición familiar, quedando a su arbitrio la economía y desarrollo de la familia. Por otro lado, las mujeres, hijas, hijos y demás personas que requieren de cuidados especiales, como adultos mayores o personas en situación de discapacidad, quedan sometidos a un sistema patriarcal, lo que limita su autonomía, libertades y, por consecuente, el ejercicio de sus derechos</w:t>
      </w:r>
      <w:r>
        <w:rPr>
          <w:rFonts w:ascii="Century Gothic" w:eastAsia="Century Gothic" w:hAnsi="Century Gothic" w:cs="Century Gothic"/>
          <w:sz w:val="24"/>
          <w:szCs w:val="24"/>
          <w:vertAlign w:val="superscript"/>
        </w:rPr>
        <w:footnoteReference w:id="2"/>
      </w:r>
      <w:r>
        <w:rPr>
          <w:rFonts w:ascii="Century Gothic" w:eastAsia="Century Gothic" w:hAnsi="Century Gothic" w:cs="Century Gothic"/>
          <w:sz w:val="24"/>
          <w:szCs w:val="24"/>
        </w:rPr>
        <w:t xml:space="preserve">. </w:t>
      </w:r>
    </w:p>
    <w:p w:rsidR="00F8402E" w:rsidRDefault="00F8402E">
      <w:pPr>
        <w:pBdr>
          <w:top w:val="nil"/>
          <w:left w:val="nil"/>
          <w:bottom w:val="nil"/>
          <w:right w:val="nil"/>
          <w:between w:val="nil"/>
        </w:pBdr>
        <w:shd w:val="clear" w:color="auto" w:fill="FFFFFF"/>
        <w:spacing w:after="0" w:line="240" w:lineRule="auto"/>
        <w:ind w:right="283" w:firstLine="708"/>
        <w:jc w:val="both"/>
        <w:rPr>
          <w:rFonts w:ascii="Century Gothic" w:eastAsia="Century Gothic" w:hAnsi="Century Gothic" w:cs="Century Gothic"/>
          <w:sz w:val="24"/>
          <w:szCs w:val="24"/>
        </w:rPr>
      </w:pPr>
    </w:p>
    <w:p w:rsidR="00F8402E" w:rsidRDefault="00F4774C">
      <w:pPr>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En tal sentido, la presente iniciativa tiene por objeto, robustecer el Código Penal y Familiar del Estado de Yucatán, en materia de protección a grupos vulnerables, tal como las personas incapaces incluyendo a aquellos mayores de edad que se encuentran en esta situación; así como a las mujeres embarazadas y</w:t>
      </w:r>
      <w:r w:rsidR="00AD26C9">
        <w:rPr>
          <w:rFonts w:ascii="Century Gothic" w:eastAsia="Century Gothic" w:hAnsi="Century Gothic" w:cs="Century Gothic"/>
          <w:sz w:val="24"/>
          <w:szCs w:val="24"/>
        </w:rPr>
        <w:t xml:space="preserve"> en situación de </w:t>
      </w:r>
      <w:r>
        <w:rPr>
          <w:rFonts w:ascii="Century Gothic" w:eastAsia="Century Gothic" w:hAnsi="Century Gothic" w:cs="Century Gothic"/>
          <w:sz w:val="24"/>
          <w:szCs w:val="24"/>
        </w:rPr>
        <w:t>abando</w:t>
      </w:r>
      <w:r w:rsidR="00AD26C9">
        <w:rPr>
          <w:rFonts w:ascii="Century Gothic" w:eastAsia="Century Gothic" w:hAnsi="Century Gothic" w:cs="Century Gothic"/>
          <w:sz w:val="24"/>
          <w:szCs w:val="24"/>
        </w:rPr>
        <w:t>no</w:t>
      </w:r>
      <w:r>
        <w:rPr>
          <w:rFonts w:ascii="Century Gothic" w:eastAsia="Century Gothic" w:hAnsi="Century Gothic" w:cs="Century Gothic"/>
          <w:sz w:val="24"/>
          <w:szCs w:val="24"/>
        </w:rPr>
        <w:t>, teniendo que enfrentar solas, moral y económicamente todo el proceso de la gestación. Otro tema relevante es respecto a los deudores alimentarios, pues, en aras de proteger a la familia se establecen nuevos obstáculos para que los referidos deudores</w:t>
      </w:r>
      <w:r w:rsidR="00AD26C9">
        <w:rPr>
          <w:rFonts w:ascii="Century Gothic" w:eastAsia="Century Gothic" w:hAnsi="Century Gothic" w:cs="Century Gothic"/>
          <w:sz w:val="24"/>
          <w:szCs w:val="24"/>
        </w:rPr>
        <w:t xml:space="preserve"> no</w:t>
      </w:r>
      <w:r>
        <w:rPr>
          <w:rFonts w:ascii="Century Gothic" w:eastAsia="Century Gothic" w:hAnsi="Century Gothic" w:cs="Century Gothic"/>
          <w:sz w:val="24"/>
          <w:szCs w:val="24"/>
        </w:rPr>
        <w:t xml:space="preserve"> puedan incorporarse a ella, entre ellos, el demostrar antecedentes de violencia familiar o que es una persona violenta, dichos supuestos, serán motivo de la no incorporación. </w:t>
      </w:r>
    </w:p>
    <w:p w:rsidR="00F8402E" w:rsidRDefault="00F8402E">
      <w:pPr>
        <w:spacing w:after="0" w:line="240" w:lineRule="auto"/>
        <w:ind w:right="283" w:firstLine="708"/>
        <w:jc w:val="both"/>
        <w:rPr>
          <w:rFonts w:ascii="Century Gothic" w:eastAsia="Century Gothic" w:hAnsi="Century Gothic" w:cs="Century Gothic"/>
          <w:sz w:val="24"/>
          <w:szCs w:val="24"/>
        </w:rPr>
      </w:pPr>
    </w:p>
    <w:p w:rsidR="00F8402E" w:rsidRDefault="00F4774C">
      <w:pPr>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se pretende establecer que los deudores alimentarios, ya no puedan solicitar el cambio de guarda y custodia, así como la pérdida y suspensión de la patria potestad, si no cumplen con el pago de la pensión alimenticia impuesta por la autoridad judicial, ya que al no demostrar interés en el bienestar de que sus descendentes reciban alimentos o lo básico para tener un modo de vida honesto, no resulta lógico que lo soliciten, ya que muchas veces lo hacen para ejercer violencia contra la persona que tiene la guarda y custodia  en turno.</w:t>
      </w:r>
    </w:p>
    <w:p w:rsidR="00F8402E" w:rsidRDefault="00F8402E">
      <w:pPr>
        <w:spacing w:after="0" w:line="240" w:lineRule="auto"/>
        <w:ind w:right="283" w:firstLine="708"/>
        <w:jc w:val="both"/>
        <w:rPr>
          <w:rFonts w:ascii="Century Gothic" w:eastAsia="Century Gothic" w:hAnsi="Century Gothic" w:cs="Century Gothic"/>
          <w:sz w:val="24"/>
          <w:szCs w:val="24"/>
        </w:rPr>
      </w:pPr>
    </w:p>
    <w:p w:rsidR="00F8402E" w:rsidRDefault="00F4774C">
      <w:pPr>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Otro punto relevante, es que se pretende adicionar un inciso más para la pérdida de la patria potestad, ya que no podemos seguir pasando p</w:t>
      </w:r>
      <w:r w:rsidR="00AD26C9">
        <w:rPr>
          <w:rFonts w:ascii="Century Gothic" w:eastAsia="Century Gothic" w:hAnsi="Century Gothic" w:cs="Century Gothic"/>
          <w:sz w:val="24"/>
          <w:szCs w:val="24"/>
        </w:rPr>
        <w:t>or alto la irresponsabilidad de los</w:t>
      </w:r>
      <w:r>
        <w:rPr>
          <w:rFonts w:ascii="Century Gothic" w:eastAsia="Century Gothic" w:hAnsi="Century Gothic" w:cs="Century Gothic"/>
          <w:sz w:val="24"/>
          <w:szCs w:val="24"/>
        </w:rPr>
        <w:t xml:space="preserve"> deudor</w:t>
      </w:r>
      <w:r w:rsidR="00163B20">
        <w:rPr>
          <w:rFonts w:ascii="Century Gothic" w:eastAsia="Century Gothic" w:hAnsi="Century Gothic" w:cs="Century Gothic"/>
          <w:sz w:val="24"/>
          <w:szCs w:val="24"/>
        </w:rPr>
        <w:t xml:space="preserve">es </w:t>
      </w:r>
      <w:r w:rsidR="00AD26C9">
        <w:rPr>
          <w:rFonts w:ascii="Century Gothic" w:eastAsia="Century Gothic" w:hAnsi="Century Gothic" w:cs="Century Gothic"/>
          <w:sz w:val="24"/>
          <w:szCs w:val="24"/>
        </w:rPr>
        <w:t xml:space="preserve"> alimentarios</w:t>
      </w:r>
      <w:r>
        <w:rPr>
          <w:rFonts w:ascii="Century Gothic" w:eastAsia="Century Gothic" w:hAnsi="Century Gothic" w:cs="Century Gothic"/>
          <w:sz w:val="24"/>
          <w:szCs w:val="24"/>
        </w:rPr>
        <w:t xml:space="preserve"> que hace</w:t>
      </w:r>
      <w:r w:rsidR="00AD26C9">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omisión de sus responsabilidades de dar alimentos a sus hijas o hijos sin una causa justificada. Esto siempre velando por el interés superior del menor.</w:t>
      </w:r>
    </w:p>
    <w:p w:rsidR="00F8402E" w:rsidRDefault="00F8402E">
      <w:pPr>
        <w:spacing w:after="0" w:line="240" w:lineRule="auto"/>
        <w:ind w:right="283" w:firstLine="708"/>
        <w:jc w:val="both"/>
        <w:rPr>
          <w:rFonts w:ascii="Century Gothic" w:eastAsia="Century Gothic" w:hAnsi="Century Gothic" w:cs="Century Gothic"/>
          <w:sz w:val="24"/>
          <w:szCs w:val="24"/>
        </w:rPr>
      </w:pPr>
    </w:p>
    <w:p w:rsidR="00F8402E" w:rsidRDefault="00F4774C">
      <w:pPr>
        <w:spacing w:after="0" w:line="240" w:lineRule="auto"/>
        <w:ind w:right="283"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Por último, consideramos importante que las personas próximas a contraer nupcias, se encuentren bien informadas de quien será su futuro cónyuge, por tanto se propone que en el taller de orientación prematrimonial, se les haga del conocimiento de la existencia del Registro de Deudores Alimentarios Morosos de Yucatán, para que puedan verificar si alguno de los futuros contray</w:t>
      </w:r>
      <w:r w:rsidR="00163B20">
        <w:rPr>
          <w:rFonts w:ascii="Century Gothic" w:eastAsia="Century Gothic" w:hAnsi="Century Gothic" w:cs="Century Gothic"/>
          <w:sz w:val="24"/>
          <w:szCs w:val="24"/>
        </w:rPr>
        <w:t>ente se encuentran inscrito en éste</w:t>
      </w:r>
      <w:bookmarkStart w:id="0" w:name="_GoBack"/>
      <w:bookmarkEnd w:id="0"/>
      <w:r>
        <w:rPr>
          <w:rFonts w:ascii="Century Gothic" w:eastAsia="Century Gothic" w:hAnsi="Century Gothic" w:cs="Century Gothic"/>
          <w:sz w:val="24"/>
          <w:szCs w:val="24"/>
        </w:rPr>
        <w:t>.</w:t>
      </w:r>
    </w:p>
    <w:p w:rsidR="00F8402E" w:rsidRDefault="00F8402E">
      <w:pPr>
        <w:spacing w:after="0" w:line="240" w:lineRule="auto"/>
        <w:ind w:right="283" w:firstLine="708"/>
        <w:jc w:val="both"/>
        <w:rPr>
          <w:rFonts w:ascii="Century Gothic" w:eastAsia="Century Gothic" w:hAnsi="Century Gothic" w:cs="Century Gothic"/>
          <w:sz w:val="24"/>
          <w:szCs w:val="24"/>
        </w:rPr>
      </w:pPr>
    </w:p>
    <w:p w:rsidR="00F8402E" w:rsidRDefault="00F4774C">
      <w:pPr>
        <w:ind w:right="284"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contexto, es importante señalar que de la población actual, un gran número corresponde al grupo en situación de vulnerabilidad incluyendo a las personas incapaces mayores de edad, que no pueden cuidarse </w:t>
      </w:r>
      <w:proofErr w:type="spellStart"/>
      <w:r>
        <w:rPr>
          <w:rFonts w:ascii="Century Gothic" w:eastAsia="Century Gothic" w:hAnsi="Century Gothic" w:cs="Century Gothic"/>
          <w:sz w:val="24"/>
          <w:szCs w:val="24"/>
        </w:rPr>
        <w:t>así</w:t>
      </w:r>
      <w:proofErr w:type="spellEnd"/>
      <w:r>
        <w:rPr>
          <w:rFonts w:ascii="Century Gothic" w:eastAsia="Century Gothic" w:hAnsi="Century Gothic" w:cs="Century Gothic"/>
          <w:sz w:val="24"/>
          <w:szCs w:val="24"/>
        </w:rPr>
        <w:t xml:space="preserve"> mismos, ya que, según el INEGI, la población con discapacidad, con limitación en la actividad cotidiana y con algún problema o condición mental, en Yucatán de edad de 20 a 49 años es la siguiente:</w:t>
      </w:r>
      <w:r>
        <w:rPr>
          <w:rFonts w:ascii="Century Gothic" w:eastAsia="Century Gothic" w:hAnsi="Century Gothic" w:cs="Century Gothic"/>
          <w:sz w:val="24"/>
          <w:szCs w:val="24"/>
          <w:vertAlign w:val="superscript"/>
        </w:rPr>
        <w:footnoteReference w:id="3"/>
      </w:r>
    </w:p>
    <w:tbl>
      <w:tblPr>
        <w:tblStyle w:val="a"/>
        <w:tblW w:w="9147" w:type="dxa"/>
        <w:tblInd w:w="-23"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2085"/>
        <w:gridCol w:w="2085"/>
        <w:gridCol w:w="1460"/>
        <w:gridCol w:w="1460"/>
        <w:gridCol w:w="2057"/>
      </w:tblGrid>
      <w:tr w:rsidR="00F8402E">
        <w:trPr>
          <w:tblHeader/>
        </w:trPr>
        <w:tc>
          <w:tcPr>
            <w:tcW w:w="2085" w:type="dxa"/>
            <w:vMerge w:val="restart"/>
            <w:tcBorders>
              <w:top w:val="nil"/>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Entidad federativa</w:t>
            </w:r>
          </w:p>
        </w:tc>
        <w:tc>
          <w:tcPr>
            <w:tcW w:w="2085" w:type="dxa"/>
            <w:vMerge w:val="restart"/>
            <w:tcBorders>
              <w:top w:val="nil"/>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Grupo quinquenal de edad</w:t>
            </w:r>
          </w:p>
        </w:tc>
        <w:tc>
          <w:tcPr>
            <w:tcW w:w="4977" w:type="dxa"/>
            <w:gridSpan w:val="3"/>
            <w:tcBorders>
              <w:top w:val="nil"/>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4774C">
            <w:pPr>
              <w:spacing w:after="30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w:t>
            </w:r>
          </w:p>
        </w:tc>
      </w:tr>
      <w:tr w:rsidR="00F8402E">
        <w:trPr>
          <w:tblHeader/>
        </w:trPr>
        <w:tc>
          <w:tcPr>
            <w:tcW w:w="2085" w:type="dxa"/>
            <w:vMerge/>
            <w:tcBorders>
              <w:top w:val="nil"/>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b/>
                <w:color w:val="000000"/>
                <w:sz w:val="20"/>
                <w:szCs w:val="20"/>
              </w:rPr>
            </w:pPr>
          </w:p>
        </w:tc>
        <w:tc>
          <w:tcPr>
            <w:tcW w:w="2085" w:type="dxa"/>
            <w:vMerge/>
            <w:tcBorders>
              <w:top w:val="nil"/>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b/>
                <w:color w:val="000000"/>
                <w:sz w:val="20"/>
                <w:szCs w:val="20"/>
              </w:rPr>
            </w:pPr>
          </w:p>
        </w:tc>
        <w:tc>
          <w:tcPr>
            <w:tcW w:w="1460" w:type="dxa"/>
            <w:tcBorders>
              <w:top w:val="single" w:sz="6" w:space="0" w:color="DDDDDD"/>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4774C">
            <w:pPr>
              <w:spacing w:after="30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w:t>
            </w:r>
          </w:p>
        </w:tc>
        <w:tc>
          <w:tcPr>
            <w:tcW w:w="1460" w:type="dxa"/>
            <w:tcBorders>
              <w:top w:val="single" w:sz="6" w:space="0" w:color="DDDDDD"/>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4774C">
            <w:pPr>
              <w:spacing w:after="30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Hombres</w:t>
            </w:r>
          </w:p>
        </w:tc>
        <w:tc>
          <w:tcPr>
            <w:tcW w:w="2057" w:type="dxa"/>
            <w:tcBorders>
              <w:top w:val="single" w:sz="6" w:space="0" w:color="DDDDDD"/>
              <w:left w:val="single" w:sz="6" w:space="0" w:color="DDDDDD"/>
              <w:bottom w:val="single" w:sz="12" w:space="0" w:color="DDDDDD"/>
              <w:right w:val="single" w:sz="6" w:space="0" w:color="DDDDDD"/>
            </w:tcBorders>
            <w:shd w:val="clear" w:color="auto" w:fill="DDDDDD"/>
            <w:tcMar>
              <w:top w:w="75" w:type="dxa"/>
              <w:left w:w="75" w:type="dxa"/>
              <w:bottom w:w="75" w:type="dxa"/>
              <w:right w:w="75" w:type="dxa"/>
            </w:tcMar>
            <w:vAlign w:val="bottom"/>
          </w:tcPr>
          <w:p w:rsidR="00F8402E" w:rsidRDefault="00F4774C">
            <w:pPr>
              <w:spacing w:after="30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Mujeres</w:t>
            </w:r>
          </w:p>
        </w:tc>
      </w:tr>
      <w:tr w:rsidR="00F8402E">
        <w:trPr>
          <w:trHeight w:val="241"/>
        </w:trPr>
        <w:tc>
          <w:tcPr>
            <w:tcW w:w="2085" w:type="dxa"/>
            <w:vMerge w:val="restart"/>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Yucatán</w:t>
            </w:r>
          </w:p>
        </w:tc>
        <w:tc>
          <w:tcPr>
            <w:tcW w:w="20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20 a 24 años</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16,850</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8,183</w:t>
            </w:r>
          </w:p>
        </w:tc>
        <w:tc>
          <w:tcPr>
            <w:tcW w:w="205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8,667</w:t>
            </w:r>
          </w:p>
        </w:tc>
      </w:tr>
      <w:tr w:rsidR="00F8402E">
        <w:tc>
          <w:tcPr>
            <w:tcW w:w="2085" w:type="dxa"/>
            <w:vMerge/>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color w:val="333333"/>
                <w:sz w:val="20"/>
                <w:szCs w:val="20"/>
              </w:rPr>
            </w:pPr>
          </w:p>
        </w:tc>
        <w:tc>
          <w:tcPr>
            <w:tcW w:w="20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25 a 29 años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16,376</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8,376</w:t>
            </w:r>
          </w:p>
        </w:tc>
        <w:tc>
          <w:tcPr>
            <w:tcW w:w="20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8,000</w:t>
            </w:r>
          </w:p>
        </w:tc>
      </w:tr>
      <w:tr w:rsidR="00F8402E">
        <w:tc>
          <w:tcPr>
            <w:tcW w:w="2085" w:type="dxa"/>
            <w:vMerge/>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color w:val="333333"/>
                <w:sz w:val="20"/>
                <w:szCs w:val="20"/>
              </w:rPr>
            </w:pPr>
          </w:p>
        </w:tc>
        <w:tc>
          <w:tcPr>
            <w:tcW w:w="20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30 a 34 años</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16,978</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8,667</w:t>
            </w:r>
          </w:p>
        </w:tc>
        <w:tc>
          <w:tcPr>
            <w:tcW w:w="205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8,311</w:t>
            </w:r>
          </w:p>
        </w:tc>
      </w:tr>
      <w:tr w:rsidR="00F8402E">
        <w:tc>
          <w:tcPr>
            <w:tcW w:w="2085" w:type="dxa"/>
            <w:vMerge/>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color w:val="333333"/>
                <w:sz w:val="20"/>
                <w:szCs w:val="20"/>
              </w:rPr>
            </w:pPr>
          </w:p>
        </w:tc>
        <w:tc>
          <w:tcPr>
            <w:tcW w:w="20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35 a 39 años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18,445</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9,243</w:t>
            </w:r>
          </w:p>
        </w:tc>
        <w:tc>
          <w:tcPr>
            <w:tcW w:w="20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9,202</w:t>
            </w:r>
          </w:p>
        </w:tc>
      </w:tr>
      <w:tr w:rsidR="00F8402E">
        <w:tc>
          <w:tcPr>
            <w:tcW w:w="2085" w:type="dxa"/>
            <w:vMerge/>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color w:val="333333"/>
                <w:sz w:val="20"/>
                <w:szCs w:val="20"/>
              </w:rPr>
            </w:pPr>
          </w:p>
        </w:tc>
        <w:tc>
          <w:tcPr>
            <w:tcW w:w="20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40 a 44 años</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27,112</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12,500</w:t>
            </w:r>
          </w:p>
        </w:tc>
        <w:tc>
          <w:tcPr>
            <w:tcW w:w="205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14,612</w:t>
            </w:r>
          </w:p>
        </w:tc>
      </w:tr>
      <w:tr w:rsidR="00F8402E">
        <w:tc>
          <w:tcPr>
            <w:tcW w:w="2085" w:type="dxa"/>
            <w:vMerge/>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8402E">
            <w:pPr>
              <w:widowControl w:val="0"/>
              <w:pBdr>
                <w:top w:val="nil"/>
                <w:left w:val="nil"/>
                <w:bottom w:val="nil"/>
                <w:right w:val="nil"/>
                <w:between w:val="nil"/>
              </w:pBdr>
              <w:spacing w:after="0" w:line="276" w:lineRule="auto"/>
              <w:rPr>
                <w:rFonts w:ascii="Century Gothic" w:eastAsia="Century Gothic" w:hAnsi="Century Gothic" w:cs="Century Gothic"/>
                <w:color w:val="333333"/>
                <w:sz w:val="20"/>
                <w:szCs w:val="20"/>
              </w:rPr>
            </w:pPr>
          </w:p>
        </w:tc>
        <w:tc>
          <w:tcPr>
            <w:tcW w:w="2085" w:type="dxa"/>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tcPr>
          <w:p w:rsidR="00F8402E" w:rsidRDefault="00F4774C">
            <w:pPr>
              <w:spacing w:after="30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45 a 49 años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33,981</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15,797</w:t>
            </w:r>
          </w:p>
        </w:tc>
        <w:tc>
          <w:tcPr>
            <w:tcW w:w="20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rsidR="00F8402E" w:rsidRDefault="00F4774C">
            <w:pPr>
              <w:spacing w:after="300" w:line="240" w:lineRule="auto"/>
              <w:jc w:val="right"/>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18,184</w:t>
            </w:r>
          </w:p>
        </w:tc>
      </w:tr>
    </w:tbl>
    <w:p w:rsidR="00F8402E" w:rsidRDefault="00F8402E">
      <w:pPr>
        <w:ind w:firstLine="708"/>
        <w:jc w:val="both"/>
        <w:rPr>
          <w:rFonts w:ascii="Century Gothic" w:eastAsia="Century Gothic" w:hAnsi="Century Gothic" w:cs="Century Gothic"/>
          <w:sz w:val="24"/>
          <w:szCs w:val="24"/>
        </w:rPr>
      </w:pPr>
    </w:p>
    <w:p w:rsidR="00F8402E" w:rsidRDefault="00F4774C">
      <w:pPr>
        <w:spacing w:line="240" w:lineRule="auto"/>
        <w:ind w:right="284"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podemos visualizar de lo anterior, este grupo vulnerable representa  una gran cantidad de población que habita en la Entidad, y por ende, se propone abarcar e incluir a todas las personas de todas las edades en el CAPÍTULO I, del Abandono de Personas.</w:t>
      </w:r>
    </w:p>
    <w:p w:rsidR="00F8402E" w:rsidRDefault="00F8402E">
      <w:pPr>
        <w:spacing w:after="0" w:line="240" w:lineRule="auto"/>
        <w:ind w:right="284" w:firstLine="709"/>
        <w:jc w:val="both"/>
        <w:rPr>
          <w:rFonts w:ascii="Century Gothic" w:eastAsia="Century Gothic" w:hAnsi="Century Gothic" w:cs="Century Gothic"/>
          <w:sz w:val="24"/>
          <w:szCs w:val="24"/>
        </w:rPr>
      </w:pPr>
    </w:p>
    <w:p w:rsidR="00F8402E" w:rsidRDefault="00F4774C">
      <w:pPr>
        <w:spacing w:line="240" w:lineRule="auto"/>
        <w:ind w:right="284" w:firstLine="709"/>
        <w:jc w:val="both"/>
        <w:rPr>
          <w:rFonts w:ascii="Century Gothic" w:eastAsia="Century Gothic" w:hAnsi="Century Gothic" w:cs="Century Gothic"/>
          <w:i/>
          <w:sz w:val="24"/>
          <w:szCs w:val="24"/>
          <w:u w:val="single"/>
        </w:rPr>
      </w:pPr>
      <w:r>
        <w:rPr>
          <w:rFonts w:ascii="Century Gothic" w:eastAsia="Century Gothic" w:hAnsi="Century Gothic" w:cs="Century Gothic"/>
          <w:sz w:val="24"/>
          <w:szCs w:val="24"/>
        </w:rPr>
        <w:t>Otro tema relevante es en materia de pensión alimentaria, el artículo 4to de la Constitución, establece que la ley protegerá la organización y el desarrollo de la familia; que toda persona tiene derecho a un ambiente adecuado para su desarrollo y bienest</w:t>
      </w:r>
      <w:r w:rsidR="00AD26C9">
        <w:rPr>
          <w:rFonts w:ascii="Century Gothic" w:eastAsia="Century Gothic" w:hAnsi="Century Gothic" w:cs="Century Gothic"/>
          <w:sz w:val="24"/>
          <w:szCs w:val="24"/>
        </w:rPr>
        <w:t>ar; que las niñas y los niño</w:t>
      </w:r>
      <w:r>
        <w:rPr>
          <w:rFonts w:ascii="Century Gothic" w:eastAsia="Century Gothic" w:hAnsi="Century Gothic" w:cs="Century Gothic"/>
          <w:sz w:val="24"/>
          <w:szCs w:val="24"/>
        </w:rPr>
        <w:t>s tienen derecho a la satisfacción de sus necesidades de alimentación, salud, educación y sano esparcimiento para su desarrollo integral; que el Estado proveerá lo necesario para propiciar el respeto a la dignidad de la niñez y el ejercicio pleno de sus derechos; que en la Convención sobre los Derechos del Niño, se reconoce que el niño, para el pleno y armonioso desarrollo de su personalidad, debe crecer en un ambiente de felicidad, amor y comprensión.</w:t>
      </w:r>
    </w:p>
    <w:p w:rsidR="00F8402E" w:rsidRDefault="00F4774C">
      <w:pPr>
        <w:spacing w:line="276" w:lineRule="auto"/>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su parte, la Declaración de los Derechos del Niño, menciona como principio que: </w:t>
      </w:r>
    </w:p>
    <w:p w:rsidR="00F8402E" w:rsidRDefault="00F4774C">
      <w:pPr>
        <w:spacing w:after="0" w:line="276" w:lineRule="auto"/>
        <w:ind w:left="708" w:right="113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“El niño debe gozar de los beneficios de la seguridad social. Tendrá derecho a crecer y desarrollarse en buena salud; con este fin deberán proporcionarse, tanto a él como a su madre, cuidados especiales, incluso atención prenatal y postnatal. </w:t>
      </w:r>
    </w:p>
    <w:p w:rsidR="00F8402E" w:rsidRDefault="00F4774C">
      <w:pPr>
        <w:spacing w:after="0" w:line="276" w:lineRule="auto"/>
        <w:ind w:left="708" w:right="113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El niño tendrá derecho a disfrutar de alimentación, vivienda, recreo y servicios médicos adecuados. (Sic)”.</w:t>
      </w:r>
    </w:p>
    <w:p w:rsidR="00F8402E" w:rsidRDefault="00F8402E">
      <w:pPr>
        <w:spacing w:after="0" w:line="276" w:lineRule="auto"/>
        <w:ind w:left="708" w:right="1134"/>
        <w:jc w:val="both"/>
        <w:rPr>
          <w:rFonts w:ascii="Century Gothic" w:eastAsia="Century Gothic" w:hAnsi="Century Gothic" w:cs="Century Gothic"/>
          <w:i/>
          <w:sz w:val="20"/>
          <w:szCs w:val="20"/>
        </w:rPr>
      </w:pPr>
    </w:p>
    <w:p w:rsidR="00F8402E" w:rsidRDefault="00F8402E">
      <w:pPr>
        <w:spacing w:after="0" w:line="276" w:lineRule="auto"/>
        <w:ind w:left="708" w:right="1134"/>
        <w:jc w:val="both"/>
        <w:rPr>
          <w:rFonts w:ascii="Century Gothic" w:eastAsia="Century Gothic" w:hAnsi="Century Gothic" w:cs="Century Gothic"/>
          <w:sz w:val="20"/>
          <w:szCs w:val="20"/>
        </w:rPr>
      </w:pPr>
    </w:p>
    <w:p w:rsidR="00F8402E" w:rsidRDefault="00F8402E">
      <w:pPr>
        <w:spacing w:after="0" w:line="276" w:lineRule="auto"/>
        <w:rPr>
          <w:rFonts w:ascii="Century Gothic" w:eastAsia="Century Gothic" w:hAnsi="Century Gothic" w:cs="Century Gothic"/>
          <w:sz w:val="24"/>
          <w:szCs w:val="24"/>
        </w:rPr>
      </w:pPr>
    </w:p>
    <w:p w:rsidR="00F8402E" w:rsidRDefault="00F4774C">
      <w:pPr>
        <w:spacing w:line="276" w:lineRule="auto"/>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Además, la Convención sobre los Derechos del Niño, establece en su artículo 27, numeral 4, lo siguiente:</w:t>
      </w:r>
    </w:p>
    <w:p w:rsidR="00F8402E" w:rsidRDefault="00F4774C">
      <w:pPr>
        <w:spacing w:line="276" w:lineRule="auto"/>
        <w:ind w:left="708" w:right="992"/>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los convenios </w:t>
      </w:r>
      <w:r>
        <w:rPr>
          <w:rFonts w:ascii="Century Gothic" w:eastAsia="Century Gothic" w:hAnsi="Century Gothic" w:cs="Century Gothic"/>
          <w:i/>
          <w:sz w:val="20"/>
          <w:szCs w:val="20"/>
        </w:rPr>
        <w:lastRenderedPageBreak/>
        <w:t>internacionales o la concertación de dichos convenios, así como la concertación de cualquier otro arreglo apropiado”.</w:t>
      </w:r>
    </w:p>
    <w:p w:rsidR="00F8402E" w:rsidRDefault="00F4774C">
      <w:pPr>
        <w:spacing w:line="276" w:lineRule="auto"/>
        <w:ind w:right="284" w:firstLine="709"/>
        <w:jc w:val="both"/>
        <w:rPr>
          <w:rFonts w:ascii="Century Gothic" w:eastAsia="Century Gothic" w:hAnsi="Century Gothic" w:cs="Century Gothic"/>
          <w:sz w:val="24"/>
          <w:szCs w:val="24"/>
        </w:rPr>
      </w:pPr>
      <w:r>
        <w:rPr>
          <w:rFonts w:ascii="Century Gothic" w:eastAsia="Century Gothic" w:hAnsi="Century Gothic" w:cs="Century Gothic"/>
          <w:sz w:val="24"/>
          <w:szCs w:val="24"/>
        </w:rPr>
        <w:t>Además de los numerales 3.1 y 9.1, donde dispone: que en todas las medidas concernientes a los niños que tomen las instituciones públicas o privadas de bienestar social, los tribunales, las autoridades administrativas o los órganos legislativos, se considerará primordial que se atienda el interés superior del niño; y que, los Estados Partes velen porque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w:t>
      </w:r>
    </w:p>
    <w:p w:rsidR="00F8402E" w:rsidRDefault="00F4774C">
      <w:pPr>
        <w:spacing w:line="276" w:lineRule="auto"/>
        <w:ind w:firstLine="708"/>
        <w:rPr>
          <w:rFonts w:ascii="Century Gothic" w:eastAsia="Century Gothic" w:hAnsi="Century Gothic" w:cs="Century Gothic"/>
          <w:sz w:val="24"/>
          <w:szCs w:val="24"/>
        </w:rPr>
      </w:pPr>
      <w:r>
        <w:rPr>
          <w:rFonts w:ascii="Century Gothic" w:eastAsia="Century Gothic" w:hAnsi="Century Gothic" w:cs="Century Gothic"/>
          <w:sz w:val="24"/>
          <w:szCs w:val="24"/>
        </w:rPr>
        <w:t>Siguiendo con el mismo orden de ideas, la Declaración Universal de los Derechos Humanos menciona:</w:t>
      </w:r>
    </w:p>
    <w:p w:rsidR="00F8402E" w:rsidRDefault="00F4774C">
      <w:pPr>
        <w:spacing w:line="276" w:lineRule="auto"/>
        <w:ind w:right="1134"/>
        <w:jc w:val="both"/>
        <w:rPr>
          <w:rFonts w:ascii="Century Gothic" w:eastAsia="Century Gothic" w:hAnsi="Century Gothic" w:cs="Century Gothic"/>
          <w:i/>
          <w:sz w:val="20"/>
          <w:szCs w:val="20"/>
        </w:rPr>
      </w:pPr>
      <w:r>
        <w:rPr>
          <w:rFonts w:ascii="Century Gothic" w:eastAsia="Century Gothic" w:hAnsi="Century Gothic" w:cs="Century Gothic"/>
          <w:sz w:val="24"/>
          <w:szCs w:val="24"/>
        </w:rPr>
        <w:tab/>
      </w:r>
      <w:r>
        <w:rPr>
          <w:rFonts w:ascii="Century Gothic" w:eastAsia="Century Gothic" w:hAnsi="Century Gothic" w:cs="Century Gothic"/>
          <w:sz w:val="20"/>
          <w:szCs w:val="20"/>
        </w:rPr>
        <w:t>“</w:t>
      </w:r>
      <w:r>
        <w:rPr>
          <w:rFonts w:ascii="Century Gothic" w:eastAsia="Century Gothic" w:hAnsi="Century Gothic" w:cs="Century Gothic"/>
          <w:i/>
          <w:sz w:val="20"/>
          <w:szCs w:val="20"/>
        </w:rPr>
        <w:t>ARTÍCULO 25</w:t>
      </w:r>
    </w:p>
    <w:p w:rsidR="00F8402E" w:rsidRDefault="00F4774C">
      <w:pPr>
        <w:numPr>
          <w:ilvl w:val="0"/>
          <w:numId w:val="1"/>
        </w:numPr>
        <w:pBdr>
          <w:top w:val="nil"/>
          <w:left w:val="nil"/>
          <w:bottom w:val="nil"/>
          <w:right w:val="nil"/>
          <w:between w:val="nil"/>
        </w:pBdr>
        <w:spacing w:after="0" w:line="276" w:lineRule="auto"/>
        <w:ind w:right="1134"/>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F8402E" w:rsidRDefault="00F4774C">
      <w:pPr>
        <w:numPr>
          <w:ilvl w:val="0"/>
          <w:numId w:val="1"/>
        </w:numPr>
        <w:pBdr>
          <w:top w:val="nil"/>
          <w:left w:val="nil"/>
          <w:bottom w:val="nil"/>
          <w:right w:val="nil"/>
          <w:between w:val="nil"/>
        </w:pBdr>
        <w:spacing w:after="0" w:line="276" w:lineRule="auto"/>
        <w:ind w:right="1134"/>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La maternidad y la infancia tienen derecho a cuidados y asistencia especiales. </w:t>
      </w:r>
    </w:p>
    <w:p w:rsidR="00F8402E" w:rsidRDefault="00F4774C">
      <w:pPr>
        <w:pBdr>
          <w:top w:val="nil"/>
          <w:left w:val="nil"/>
          <w:bottom w:val="nil"/>
          <w:right w:val="nil"/>
          <w:between w:val="nil"/>
        </w:pBdr>
        <w:spacing w:line="276" w:lineRule="auto"/>
        <w:ind w:left="720" w:right="1134"/>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Todos los niños, nacidos de matrimonio o fuera de matrimonio, tienen derecho a igual protección social.”</w:t>
      </w:r>
    </w:p>
    <w:p w:rsidR="00F8402E" w:rsidRDefault="00F8402E">
      <w:pPr>
        <w:spacing w:after="0" w:line="240" w:lineRule="auto"/>
        <w:ind w:right="283" w:firstLine="708"/>
        <w:jc w:val="both"/>
        <w:rPr>
          <w:rFonts w:ascii="Century Gothic" w:eastAsia="Century Gothic" w:hAnsi="Century Gothic" w:cs="Century Gothic"/>
          <w:sz w:val="24"/>
          <w:szCs w:val="24"/>
        </w:rPr>
      </w:pPr>
    </w:p>
    <w:p w:rsidR="00F8402E" w:rsidRDefault="00F4774C">
      <w:pPr>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Es así que, se reitera, la familia representa una de las piezas más sustanciales e importante</w:t>
      </w:r>
      <w:r w:rsidR="00A92AD3">
        <w:rPr>
          <w:rFonts w:ascii="Century Gothic" w:eastAsia="Century Gothic" w:hAnsi="Century Gothic" w:cs="Century Gothic"/>
          <w:sz w:val="24"/>
          <w:szCs w:val="24"/>
        </w:rPr>
        <w:t>s de la sociedad y, por ende, las hija</w:t>
      </w:r>
      <w:r>
        <w:rPr>
          <w:rFonts w:ascii="Century Gothic" w:eastAsia="Century Gothic" w:hAnsi="Century Gothic" w:cs="Century Gothic"/>
          <w:sz w:val="24"/>
          <w:szCs w:val="24"/>
        </w:rPr>
        <w:t>s</w:t>
      </w:r>
      <w:r w:rsidR="00A92AD3">
        <w:rPr>
          <w:rFonts w:ascii="Century Gothic" w:eastAsia="Century Gothic" w:hAnsi="Century Gothic" w:cs="Century Gothic"/>
          <w:sz w:val="24"/>
          <w:szCs w:val="24"/>
        </w:rPr>
        <w:t xml:space="preserve"> e hijos</w:t>
      </w:r>
      <w:r>
        <w:rPr>
          <w:rFonts w:ascii="Century Gothic" w:eastAsia="Century Gothic" w:hAnsi="Century Gothic" w:cs="Century Gothic"/>
          <w:sz w:val="24"/>
          <w:szCs w:val="24"/>
        </w:rPr>
        <w:t xml:space="preserve"> que forman parte </w:t>
      </w:r>
      <w:r w:rsidR="00A92AD3">
        <w:rPr>
          <w:rFonts w:ascii="Century Gothic" w:eastAsia="Century Gothic" w:hAnsi="Century Gothic" w:cs="Century Gothic"/>
          <w:sz w:val="24"/>
          <w:szCs w:val="24"/>
        </w:rPr>
        <w:t>de é</w:t>
      </w:r>
      <w:r>
        <w:rPr>
          <w:rFonts w:ascii="Century Gothic" w:eastAsia="Century Gothic" w:hAnsi="Century Gothic" w:cs="Century Gothic"/>
          <w:sz w:val="24"/>
          <w:szCs w:val="24"/>
        </w:rPr>
        <w:t xml:space="preserve">sta y de quienes debemos reconocer que son la base fundamental, debido a que de alguna manera los padres se deben y se entregan a ellos. </w:t>
      </w:r>
    </w:p>
    <w:p w:rsidR="00F8402E" w:rsidRDefault="00F8402E">
      <w:pPr>
        <w:spacing w:after="0" w:line="240" w:lineRule="auto"/>
        <w:ind w:right="284" w:firstLine="708"/>
        <w:jc w:val="both"/>
        <w:rPr>
          <w:rFonts w:ascii="Century Gothic" w:eastAsia="Century Gothic" w:hAnsi="Century Gothic" w:cs="Century Gothic"/>
          <w:sz w:val="24"/>
          <w:szCs w:val="24"/>
        </w:rPr>
      </w:pPr>
    </w:p>
    <w:p w:rsidR="00F8402E" w:rsidRDefault="00F4774C">
      <w:pPr>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ello, se contempla legislar en todas la direcciones, a efecto de garantizar por todas las formas posibles el sano desarrollo de las y los menores, aún y cuando el bebé esté en el vientre materno; toda vez que un ser humano </w:t>
      </w:r>
      <w:r>
        <w:rPr>
          <w:rFonts w:ascii="Century Gothic" w:eastAsia="Century Gothic" w:hAnsi="Century Gothic" w:cs="Century Gothic"/>
          <w:sz w:val="24"/>
          <w:szCs w:val="24"/>
        </w:rPr>
        <w:lastRenderedPageBreak/>
        <w:t>en estado de gestación es más vulnerable, y esta vulnerabilidad se agrava cuando hay abandono del progenitor.</w:t>
      </w:r>
    </w:p>
    <w:p w:rsidR="00F8402E" w:rsidRDefault="00F8402E">
      <w:pPr>
        <w:spacing w:after="0" w:line="240" w:lineRule="auto"/>
        <w:ind w:right="284" w:firstLine="708"/>
        <w:jc w:val="both"/>
        <w:rPr>
          <w:rFonts w:ascii="Century Gothic" w:eastAsia="Century Gothic" w:hAnsi="Century Gothic" w:cs="Century Gothic"/>
          <w:sz w:val="24"/>
          <w:szCs w:val="24"/>
        </w:rPr>
      </w:pPr>
    </w:p>
    <w:p w:rsidR="00F8402E" w:rsidRDefault="00A92AD3">
      <w:pPr>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w:t>
      </w:r>
      <w:r w:rsidR="00F4774C">
        <w:rPr>
          <w:rFonts w:ascii="Century Gothic" w:eastAsia="Century Gothic" w:hAnsi="Century Gothic" w:cs="Century Gothic"/>
          <w:sz w:val="24"/>
          <w:szCs w:val="24"/>
        </w:rPr>
        <w:t xml:space="preserve">n ese sentido, </w:t>
      </w:r>
      <w:r>
        <w:rPr>
          <w:rFonts w:ascii="Century Gothic" w:eastAsia="Century Gothic" w:hAnsi="Century Gothic" w:cs="Century Gothic"/>
          <w:sz w:val="24"/>
          <w:szCs w:val="24"/>
        </w:rPr>
        <w:t xml:space="preserve">es </w:t>
      </w:r>
      <w:r w:rsidR="00F4774C">
        <w:rPr>
          <w:rFonts w:ascii="Century Gothic" w:eastAsia="Century Gothic" w:hAnsi="Century Gothic" w:cs="Century Gothic"/>
          <w:sz w:val="24"/>
          <w:szCs w:val="24"/>
        </w:rPr>
        <w:t>que se determina urgentemente sancionar la conducta de abandono po</w:t>
      </w:r>
      <w:r>
        <w:rPr>
          <w:rFonts w:ascii="Century Gothic" w:eastAsia="Century Gothic" w:hAnsi="Century Gothic" w:cs="Century Gothic"/>
          <w:sz w:val="24"/>
          <w:szCs w:val="24"/>
        </w:rPr>
        <w:t xml:space="preserve">r parte del hombre </w:t>
      </w:r>
      <w:r w:rsidR="00F4774C">
        <w:rPr>
          <w:rFonts w:ascii="Century Gothic" w:eastAsia="Century Gothic" w:hAnsi="Century Gothic" w:cs="Century Gothic"/>
          <w:sz w:val="24"/>
          <w:szCs w:val="24"/>
        </w:rPr>
        <w:t>y sin motivo justificado incumpla con sus ob</w:t>
      </w:r>
      <w:r>
        <w:rPr>
          <w:rFonts w:ascii="Century Gothic" w:eastAsia="Century Gothic" w:hAnsi="Century Gothic" w:cs="Century Gothic"/>
          <w:sz w:val="24"/>
          <w:szCs w:val="24"/>
        </w:rPr>
        <w:t>ligaciones a la madre de su hija o hijo,</w:t>
      </w:r>
      <w:r w:rsidR="00F4774C">
        <w:rPr>
          <w:rFonts w:ascii="Century Gothic" w:eastAsia="Century Gothic" w:hAnsi="Century Gothic" w:cs="Century Gothic"/>
          <w:sz w:val="24"/>
          <w:szCs w:val="24"/>
        </w:rPr>
        <w:t xml:space="preserve"> precisando que dicho abandono coadyuva a la carencia de la asistencia debida, sin los recursos para atender sus necesidades de subsistencia.</w:t>
      </w:r>
    </w:p>
    <w:p w:rsidR="00F8402E" w:rsidRDefault="00F8402E">
      <w:pPr>
        <w:spacing w:after="0" w:line="240" w:lineRule="auto"/>
        <w:ind w:right="284" w:firstLine="708"/>
        <w:jc w:val="both"/>
        <w:rPr>
          <w:rFonts w:ascii="Century Gothic" w:eastAsia="Century Gothic" w:hAnsi="Century Gothic" w:cs="Century Gothic"/>
          <w:sz w:val="24"/>
          <w:szCs w:val="24"/>
        </w:rPr>
      </w:pPr>
    </w:p>
    <w:p w:rsidR="00F8402E" w:rsidRDefault="00F4774C">
      <w:pPr>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Cabe mencionar que las normas que regulan las relaciones de familia son de orden público e interés social y tienen por objeto el desarrollo integral de las personas que integran la familia, basadas en el respeto a su dignidad. </w:t>
      </w:r>
    </w:p>
    <w:p w:rsidR="00F8402E" w:rsidRDefault="00F8402E">
      <w:pPr>
        <w:spacing w:after="0" w:line="240" w:lineRule="auto"/>
        <w:ind w:right="284" w:firstLine="708"/>
        <w:jc w:val="both"/>
        <w:rPr>
          <w:rFonts w:ascii="Century Gothic" w:eastAsia="Century Gothic" w:hAnsi="Century Gothic" w:cs="Century Gothic"/>
          <w:sz w:val="24"/>
          <w:szCs w:val="24"/>
        </w:rPr>
      </w:pPr>
    </w:p>
    <w:p w:rsidR="00F8402E" w:rsidRDefault="00F4774C">
      <w:pPr>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La regulación sobre las pensiones de alimentos surge cuando no existe la corresponsabilidad específicamente de las personas progenitoras y otros familiares, ante esta posibilidad surge el derecho y prevé normas para remediar esta omisión y obligar en forma coactiva al familiar que debe proporcionar alimentos derivados de la ley, y que no cumple voluntaria y espontáneamente, por lo que de ese modo el deber moral de ministrar alimentos se ha convertido en un deber jurídico, lo que significa la posibilidad que tiene la persona acreedora alimentaria de exigirlos y obtener en forma coactiva su pago por resolución judicial.</w:t>
      </w:r>
    </w:p>
    <w:p w:rsidR="00F8402E" w:rsidRDefault="00F8402E">
      <w:pPr>
        <w:spacing w:after="0" w:line="240" w:lineRule="auto"/>
        <w:ind w:right="284"/>
        <w:jc w:val="both"/>
        <w:rPr>
          <w:rFonts w:ascii="Century Gothic" w:eastAsia="Century Gothic" w:hAnsi="Century Gothic" w:cs="Century Gothic"/>
          <w:sz w:val="24"/>
          <w:szCs w:val="24"/>
        </w:rPr>
      </w:pPr>
    </w:p>
    <w:p w:rsidR="00F8402E" w:rsidRDefault="00F4774C">
      <w:pPr>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Cuando por las costumbres ilícitas de quien o quienes la ejercen, malos tratos o abandono de sus deberes, pueda comprometerse la salud, la seguridad o la moralidad de los descendientes; se propone la pérdida de la patria potestad, tal como está establecido en la siguiente tesis:</w:t>
      </w:r>
    </w:p>
    <w:p w:rsidR="00F8402E" w:rsidRDefault="00F8402E">
      <w:pPr>
        <w:spacing w:after="0" w:line="240" w:lineRule="auto"/>
        <w:ind w:left="851" w:right="284"/>
        <w:jc w:val="both"/>
        <w:rPr>
          <w:rFonts w:ascii="Century Gothic" w:eastAsia="Century Gothic" w:hAnsi="Century Gothic" w:cs="Century Gothic"/>
          <w:sz w:val="24"/>
          <w:szCs w:val="24"/>
        </w:rPr>
      </w:pP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Suprema Corte de Justicia de la Nación</w:t>
      </w:r>
    </w:p>
    <w:p w:rsidR="00F8402E" w:rsidRDefault="00F8402E">
      <w:pPr>
        <w:spacing w:after="0" w:line="240" w:lineRule="auto"/>
        <w:ind w:left="851" w:right="1559"/>
        <w:jc w:val="both"/>
        <w:rPr>
          <w:rFonts w:ascii="Century Gothic" w:eastAsia="Century Gothic" w:hAnsi="Century Gothic" w:cs="Century Gothic"/>
          <w:i/>
        </w:rPr>
      </w:pP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Registro digital: 172720</w:t>
      </w: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Instancia: Primera Sala</w:t>
      </w: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Novena Época</w:t>
      </w: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Materias(s): Civil</w:t>
      </w: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Tesis: 1a</w:t>
      </w:r>
      <w:proofErr w:type="gramStart"/>
      <w:r>
        <w:rPr>
          <w:rFonts w:ascii="Century Gothic" w:eastAsia="Century Gothic" w:hAnsi="Century Gothic" w:cs="Century Gothic"/>
          <w:i/>
        </w:rPr>
        <w:t>./</w:t>
      </w:r>
      <w:proofErr w:type="gramEnd"/>
      <w:r>
        <w:rPr>
          <w:rFonts w:ascii="Century Gothic" w:eastAsia="Century Gothic" w:hAnsi="Century Gothic" w:cs="Century Gothic"/>
          <w:i/>
        </w:rPr>
        <w:t>J. 14/2007</w:t>
      </w: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Fuente: Semanario Judicial de la Federación y su Gaceta. Tomo XXV, Abril de 2007, página 221</w:t>
      </w: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Tipo: Jurisprudencia</w:t>
      </w:r>
    </w:p>
    <w:p w:rsidR="00F8402E" w:rsidRDefault="00F8402E">
      <w:pPr>
        <w:spacing w:after="0" w:line="240" w:lineRule="auto"/>
        <w:ind w:left="851" w:right="1559"/>
        <w:jc w:val="both"/>
        <w:rPr>
          <w:rFonts w:ascii="Century Gothic" w:eastAsia="Century Gothic" w:hAnsi="Century Gothic" w:cs="Century Gothic"/>
          <w:i/>
        </w:rPr>
      </w:pPr>
    </w:p>
    <w:p w:rsidR="00F8402E" w:rsidRDefault="00F4774C">
      <w:pPr>
        <w:spacing w:after="0" w:line="240" w:lineRule="auto"/>
        <w:ind w:left="851" w:right="1559"/>
        <w:jc w:val="both"/>
        <w:rPr>
          <w:rFonts w:ascii="Century Gothic" w:eastAsia="Century Gothic" w:hAnsi="Century Gothic" w:cs="Century Gothic"/>
          <w:i/>
        </w:rPr>
      </w:pPr>
      <w:r>
        <w:rPr>
          <w:rFonts w:ascii="Century Gothic" w:eastAsia="Century Gothic" w:hAnsi="Century Gothic" w:cs="Century Gothic"/>
          <w:i/>
        </w:rPr>
        <w:t>PATRIA POTESTAD. EL CUMPLIMIENTO PARCIAL O INSUFICIENTE DE LA OBLIGACIÓN ALIMENTARIA SIN CAUSA JUSTIFICADA POR MÁS DE NOVENTA DÍAS GENERA SU PÉRDIDA (INTERPRETACIÓN DEL ARTÍCULO 444, FRACCIÓN IV, DEL CÓDIGO CIVIL PARA EL DISTRITO FEDERAL, VIGENTE A PARTIR DEL 10 DE JUNIO DE 2004).</w:t>
      </w:r>
    </w:p>
    <w:p w:rsidR="00F8402E" w:rsidRDefault="00F8402E">
      <w:pPr>
        <w:spacing w:after="0" w:line="240" w:lineRule="auto"/>
        <w:ind w:left="851" w:right="1559"/>
        <w:jc w:val="both"/>
        <w:rPr>
          <w:rFonts w:ascii="Century Gothic" w:eastAsia="Century Gothic" w:hAnsi="Century Gothic" w:cs="Century Gothic"/>
          <w:i/>
        </w:rPr>
      </w:pPr>
    </w:p>
    <w:p w:rsidR="00F8402E" w:rsidRDefault="00F4774C">
      <w:pPr>
        <w:spacing w:after="0" w:line="240" w:lineRule="auto"/>
        <w:ind w:left="851" w:right="1559"/>
        <w:jc w:val="both"/>
        <w:rPr>
          <w:rFonts w:ascii="Century Gothic" w:eastAsia="Century Gothic" w:hAnsi="Century Gothic" w:cs="Century Gothic"/>
          <w:i/>
          <w:sz w:val="24"/>
          <w:szCs w:val="24"/>
        </w:rPr>
      </w:pPr>
      <w:r>
        <w:rPr>
          <w:rFonts w:ascii="Century Gothic" w:eastAsia="Century Gothic" w:hAnsi="Century Gothic" w:cs="Century Gothic"/>
          <w:i/>
          <w:sz w:val="20"/>
          <w:szCs w:val="20"/>
        </w:rPr>
        <w:t>De la interpretación histórico-teleológica del citado precepto, reformado mediante Decreto publicado en la Gaceta Oficial de la entidad el 9 de junio de 2004, se concluye que el cumplimiento parcial o insuficiente de la obligación alimentaria por más de noventa días, sin causa justificada a criterio del juzgador, da lugar a que se actualice la causal de pérdida de la patria potestad establecida en la fracción IV del artículo 444 del Código Civil para el Distrito Federal, pues esa conducta del deudor alimentista es contraria a la finalidad de prevención y conservación de la integridad física y moral de los hijos inmersa en la figura de la patria potestad, ya que los alimentos tienden a la satisfacción de sus necesidades de subsistencia y éstas se actualizan día con día, por lo que no puede quedar al arbitrio del deudor proporcionarlos por las cantidades y en los tiempos que estime necesarios. Además, de acuerdo con el preámbulo y los artículos 3 y 27 de la Convención sobre los Derechos del Niño, este país se ha obligado a adoptar las medidas necesarias para proteger el interés superior del niño, en especial por lo que se refiere a la obligación de los padres de proporcionar, dentro de sus posibilidades y medios económicos, las condiciones de vida que sean necesarias para su desarrollo. Ahora bien, para determinar en cada caso concreto que el deudor alimentario sólo ha cumplido su obligación de manera parcial o insuficiente, es preciso que esté determinada la respectiva pensión (provisional, definitiva o convenida por las partes), de manera que basta con que el Juez verifique que efectivamente no se ha cubierto su monto total por más de noventa días y que a su prudente arbitrio no existe una causal justificada para ello.</w:t>
      </w:r>
      <w:r>
        <w:rPr>
          <w:rFonts w:ascii="Century Gothic" w:eastAsia="Century Gothic" w:hAnsi="Century Gothic" w:cs="Century Gothic"/>
          <w:i/>
        </w:rPr>
        <w:tab/>
      </w:r>
    </w:p>
    <w:p w:rsidR="00F8402E" w:rsidRDefault="00F4774C">
      <w:pPr>
        <w:pBdr>
          <w:top w:val="nil"/>
          <w:left w:val="nil"/>
          <w:bottom w:val="nil"/>
          <w:right w:val="nil"/>
          <w:between w:val="nil"/>
        </w:pBdr>
        <w:shd w:val="clear" w:color="auto" w:fill="FFFFFF"/>
        <w:spacing w:after="0" w:line="240" w:lineRule="auto"/>
        <w:ind w:righ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F8402E" w:rsidRDefault="00F4774C">
      <w:pPr>
        <w:pBdr>
          <w:top w:val="nil"/>
          <w:left w:val="nil"/>
          <w:bottom w:val="nil"/>
          <w:right w:val="nil"/>
          <w:between w:val="nil"/>
        </w:pBdr>
        <w:shd w:val="clear" w:color="auto" w:fill="FFFFFF"/>
        <w:spacing w:after="0" w:line="240" w:lineRule="auto"/>
        <w:ind w:righ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Además, es aplicable lo estipulado en la siguiente Jurisprudencia:</w:t>
      </w:r>
    </w:p>
    <w:p w:rsidR="00F8402E" w:rsidRDefault="00F8402E">
      <w:pPr>
        <w:pBdr>
          <w:top w:val="nil"/>
          <w:left w:val="nil"/>
          <w:bottom w:val="nil"/>
          <w:right w:val="nil"/>
          <w:between w:val="nil"/>
        </w:pBdr>
        <w:shd w:val="clear" w:color="auto" w:fill="FFFFFF"/>
        <w:spacing w:after="0" w:line="240" w:lineRule="auto"/>
        <w:ind w:right="283"/>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1275" w:firstLine="709"/>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Registro digital: 206948</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Instancia: Tercera Sala</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Octava Época</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Materia(s): Civil</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Tesis: 3a</w:t>
      </w:r>
      <w:proofErr w:type="gramStart"/>
      <w:r>
        <w:rPr>
          <w:rFonts w:ascii="Century Gothic" w:eastAsia="Century Gothic" w:hAnsi="Century Gothic" w:cs="Century Gothic"/>
          <w:i/>
          <w:sz w:val="20"/>
          <w:szCs w:val="20"/>
        </w:rPr>
        <w:t>./</w:t>
      </w:r>
      <w:proofErr w:type="gramEnd"/>
      <w:r>
        <w:rPr>
          <w:rFonts w:ascii="Century Gothic" w:eastAsia="Century Gothic" w:hAnsi="Century Gothic" w:cs="Century Gothic"/>
          <w:i/>
          <w:sz w:val="20"/>
          <w:szCs w:val="20"/>
        </w:rPr>
        <w:t>J. 30/91 (31/91)</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Fuente: Semanario Judicial de la Federación.</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Tomo VIII, Julio de 1991, página 65</w:t>
      </w: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Tipo: Jurisprudencia</w:t>
      </w:r>
    </w:p>
    <w:p w:rsidR="00F8402E" w:rsidRDefault="00F8402E">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lastRenderedPageBreak/>
        <w:t>PATRIA POTESTAD. SE PIERDE SI SE ACREDITA EL ABANDONO DE LOS DEBERES DE ALGUNO DE LOS PADRES, SIN QUE SEA NECESARIO PROBAR QUE EL MENOSCABO EN LA SALUD, SEGURIDAD Y VALORES DEL MENOR SE PRODUZCAN EN LA REALIDAD, PERO DEBEN EXISTIR RAZONES QUE PERMITAN ESTIMAR QUE PUEDEN PRODUCIRSE. (ARTICULO 444, FRACCION III, DEL CODIGO CIVIL PARA EL DISTRITO FEDERAL).</w:t>
      </w:r>
    </w:p>
    <w:p w:rsidR="00F8402E" w:rsidRDefault="00F8402E">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La patria potestad como estado jurídico que implica derechos y obligaciones para el padre, la madre y los hijos, tiene la característica de ser una institución de orden público, en cuya preservación y debida aplicación de las normas que la regulan, la sociedad está especialmente interesada. La pérdida de este derecho natural reconocido por la ley, entraña graves consecuencias tanto para los hijos como para el que la ejerce, en consecuencia, para decretarla en el caso del artículo 444, fracción III, del Código Civil para el Distrito Federal, tratándose del abandono de los deberes de alguno de los padres, se requiere demostrar tal hecho y valorar las circunstancias en que se presenta para determinar si hay razones que permitan estimar que pueden producirse los resultados lesivos para el menor; es decir, se debe probar la conducta o proceder del progenitor incumplido y razonar los motivos por los cuales puede afectar la salud, seguridad o moralidad de los hijos; sin que sea necesario acreditar que el perjuicio o afectación en dicha salud, seguridad o moralidad del menor se hubiere dado en la realidad, ya que el verbo poder utilizado en pasado subjuntivo en la expresión "pudiera", implica un estado de posibilidades pero no que se hubiere actualizado.</w:t>
      </w:r>
    </w:p>
    <w:p w:rsidR="00F8402E" w:rsidRDefault="00F8402E">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p>
    <w:p w:rsidR="00F8402E" w:rsidRDefault="00F4774C">
      <w:pPr>
        <w:pBdr>
          <w:top w:val="nil"/>
          <w:left w:val="nil"/>
          <w:bottom w:val="nil"/>
          <w:right w:val="nil"/>
          <w:between w:val="nil"/>
        </w:pBdr>
        <w:shd w:val="clear" w:color="auto" w:fill="FFFFFF"/>
        <w:spacing w:after="0" w:line="240" w:lineRule="auto"/>
        <w:ind w:right="284" w:hanging="14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Siguiendo con el mismo orden de ideas, la presente reforma viene a complementar las Fracciones III y IV del art. 308 del Código de Familia del Estado de Yucatán, referente a la pérdida de la patria potestad por resolución judicial, mismas que señalan lo siguiente:</w:t>
      </w:r>
    </w:p>
    <w:p w:rsidR="00F8402E" w:rsidRDefault="00F8402E">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“III. Cuando por las costumbres ilícitas de quien o quienes la ejercen, malos tratos o abandono de sus deberes, pueda comprometerse la salud, la seguridad o la moralidad de los descendientes; y </w:t>
      </w:r>
    </w:p>
    <w:p w:rsidR="00F8402E" w:rsidRDefault="00F8402E">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p>
    <w:p w:rsidR="00F8402E" w:rsidRDefault="00F4774C">
      <w:pPr>
        <w:pBdr>
          <w:top w:val="nil"/>
          <w:left w:val="nil"/>
          <w:bottom w:val="nil"/>
          <w:right w:val="nil"/>
          <w:between w:val="nil"/>
        </w:pBdr>
        <w:shd w:val="clear" w:color="auto" w:fill="FFFFFF"/>
        <w:spacing w:after="0" w:line="240" w:lineRule="auto"/>
        <w:ind w:left="709" w:right="1275"/>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IV.- Cuando quien o quienes la ejerzan dejen de convivir injustificadamente con las niñas, niños o adolescentes, los abandone o deje en custodia para su cuidado en algún centro asistencial público o privado o en casa particular, por más de sesenta días naturales y tratándose expósitos, después de siete días naturales.”</w:t>
      </w:r>
    </w:p>
    <w:p w:rsidR="00F8402E" w:rsidRDefault="00F8402E">
      <w:pPr>
        <w:pBdr>
          <w:top w:val="nil"/>
          <w:left w:val="nil"/>
          <w:bottom w:val="nil"/>
          <w:right w:val="nil"/>
          <w:between w:val="nil"/>
        </w:pBdr>
        <w:shd w:val="clear" w:color="auto" w:fill="FFFFFF"/>
        <w:spacing w:after="0" w:line="240" w:lineRule="auto"/>
        <w:ind w:left="709" w:right="283"/>
        <w:jc w:val="both"/>
        <w:rPr>
          <w:rFonts w:ascii="Century Gothic" w:eastAsia="Century Gothic" w:hAnsi="Century Gothic" w:cs="Century Gothic"/>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Derivado de lo anterior, se pretende sancionar al progenitor</w:t>
      </w:r>
      <w:r w:rsidR="00E11416">
        <w:rPr>
          <w:rFonts w:ascii="Century Gothic" w:eastAsia="Century Gothic" w:hAnsi="Century Gothic" w:cs="Century Gothic"/>
          <w:sz w:val="24"/>
          <w:szCs w:val="24"/>
        </w:rPr>
        <w:t xml:space="preserve"> o progenitora que no convive con sus hija</w:t>
      </w:r>
      <w:r>
        <w:rPr>
          <w:rFonts w:ascii="Century Gothic" w:eastAsia="Century Gothic" w:hAnsi="Century Gothic" w:cs="Century Gothic"/>
          <w:sz w:val="24"/>
          <w:szCs w:val="24"/>
        </w:rPr>
        <w:t>s</w:t>
      </w:r>
      <w:r w:rsidR="00E11416">
        <w:rPr>
          <w:rFonts w:ascii="Century Gothic" w:eastAsia="Century Gothic" w:hAnsi="Century Gothic" w:cs="Century Gothic"/>
          <w:sz w:val="24"/>
          <w:szCs w:val="24"/>
        </w:rPr>
        <w:t xml:space="preserve"> e hijos</w:t>
      </w:r>
      <w:r>
        <w:rPr>
          <w:rFonts w:ascii="Century Gothic" w:eastAsia="Century Gothic" w:hAnsi="Century Gothic" w:cs="Century Gothic"/>
          <w:sz w:val="24"/>
          <w:szCs w:val="24"/>
        </w:rPr>
        <w:t xml:space="preserve">, y que ha desatendido sus obligaciones como padre o madre y que además tiene adeudos por concepto de pensión </w:t>
      </w:r>
      <w:r w:rsidR="00E11416">
        <w:rPr>
          <w:rFonts w:ascii="Century Gothic" w:eastAsia="Century Gothic" w:hAnsi="Century Gothic" w:cs="Century Gothic"/>
          <w:sz w:val="24"/>
          <w:szCs w:val="24"/>
        </w:rPr>
        <w:lastRenderedPageBreak/>
        <w:t>alimenticia a favor de sus hija</w:t>
      </w:r>
      <w:r>
        <w:rPr>
          <w:rFonts w:ascii="Century Gothic" w:eastAsia="Century Gothic" w:hAnsi="Century Gothic" w:cs="Century Gothic"/>
          <w:sz w:val="24"/>
          <w:szCs w:val="24"/>
        </w:rPr>
        <w:t>s</w:t>
      </w:r>
      <w:r w:rsidR="00E11416">
        <w:rPr>
          <w:rFonts w:ascii="Century Gothic" w:eastAsia="Century Gothic" w:hAnsi="Century Gothic" w:cs="Century Gothic"/>
          <w:sz w:val="24"/>
          <w:szCs w:val="24"/>
        </w:rPr>
        <w:t xml:space="preserve"> e hijos</w:t>
      </w:r>
      <w:r>
        <w:rPr>
          <w:rFonts w:ascii="Century Gothic" w:eastAsia="Century Gothic" w:hAnsi="Century Gothic" w:cs="Century Gothic"/>
          <w:sz w:val="24"/>
          <w:szCs w:val="24"/>
        </w:rPr>
        <w:t>; a pesar de que aun PERCIBA INGRESOS ECONÓMICOS y cuente con los medios económicos suficientes para satisfacer los alimentos de sus hijos.</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Ello, debido a que es obligación de la autoridad velar  por el mayor bienestar y seguridad para las y los menores de edad, teniendo como fundamento legal el art. 1ro constitucional, que hace referencia a la obligación de todas las autoridades del país, de velar por un respeto irrestricto a los derechos humanos contenidos tanto en la Carta Magna, como en los Tratados internacionales suscritos en la materia, tal como la Convención Americana sobre Derechos Humanos, que en su artículo 17.1 dispone: La Familia es el elemento natural y fundamental de la sociedad y debe ser protegida por la sociedad y el Estado.</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Siendo la patria potestad una cuestión de orden público e interés social, y como tal, la sociedad está interesada en la preservación de este estado jurídico, en atención a que el mismo conlleva a la mejor formación posible de los ciudadanos a partir de la familia; supremo derecho que tienen, no sólo los padres de fungir como tales, sino los menores sujetos a ella, derivado de la relación paterno-filial, a ser protegidos, educados, amados y respetados, a crecer en un ambiente sano que les permita un desarrollo integral y una vida digna, así como un ejercicio pleno de sus derechos.</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Todo lo anterior, es de acuerdo con la resolución de las Naciones Unidas A/RES/70/1, mejor conocida como la “Agenda 2030”, específicamente en los numerales 10 y 16, que abordan la reducción de las desigualdades y la importancia de la Justicia e Instituciones Sólidas respectivamente.</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Diputadas y Diputados, con la presente iniciativa de reformas, Yucatán  avanza en la protección de los derechos de los grupos en situación de  vulnerabilidad, siendo complemento de otras reformas, fortaleciendo el marco normativo en materia de conductas delictivas como son el abandono de cualquier persona incapaz, así como de la mujer en estado de embarazo, y la falta de pago de pensión de las niñas, niños y adolescentes, así como velar por el bienestar de la custodia de los mismos, dejándoselo al progenitor responsable.</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b/>
          <w:sz w:val="24"/>
          <w:szCs w:val="24"/>
        </w:rPr>
      </w:pPr>
      <w:r>
        <w:rPr>
          <w:rFonts w:ascii="Century Gothic" w:eastAsia="Century Gothic" w:hAnsi="Century Gothic" w:cs="Century Gothic"/>
          <w:sz w:val="24"/>
          <w:szCs w:val="24"/>
        </w:rPr>
        <w:lastRenderedPageBreak/>
        <w:t>En virtud de lo anterior, es que ponemos a consideración de este Honorable Pleno del Congreso del Estado para su revisión, análisis y, en su caso, aprobación la siguiente iniciativa de:</w:t>
      </w:r>
    </w:p>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PROYECTO DE DECRETO</w:t>
      </w:r>
    </w:p>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POR EL QUE SE REFORMA LOS ARTÍCULOS 352, 353 Y SE ADICIONA EL ARTÍCULO 355 BIS TODOS DEL CÓDIGO PENAL DEL ESTADO DE YUCATÁN ADEMÁS SE REFORMA EL ARTÍCULO 34, SE ADICIONA LA FRACCIÓN VI BIS DEL ARTÍCULO 57, SE ADICIONA LA FRACCIÓN V BIS DEL ARTÍCULO 308 TODOS DEL CÓDIGO DE FAMILIA DEL ESTADO DE YUCATÁN:</w:t>
      </w:r>
    </w:p>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highlight w:val="yellow"/>
        </w:rPr>
      </w:pPr>
    </w:p>
    <w:p w:rsidR="00F8402E" w:rsidRDefault="00F4774C">
      <w:pPr>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PRIMERO.-</w:t>
      </w:r>
      <w:r>
        <w:rPr>
          <w:rFonts w:ascii="Century Gothic" w:eastAsia="Century Gothic" w:hAnsi="Century Gothic" w:cs="Century Gothic"/>
          <w:sz w:val="24"/>
          <w:szCs w:val="24"/>
        </w:rPr>
        <w:t xml:space="preserve"> SE REFORMA LOS ARTÍCULOS 352, 353 Y SE ADICIONA EL ARTÍCULO 355 BIS TODOS DEL </w:t>
      </w:r>
      <w:r>
        <w:rPr>
          <w:rFonts w:ascii="Century Gothic" w:eastAsia="Century Gothic" w:hAnsi="Century Gothic" w:cs="Century Gothic"/>
          <w:b/>
          <w:sz w:val="24"/>
          <w:szCs w:val="24"/>
        </w:rPr>
        <w:t>CÓDIGO PENAL DEL ESTADO DE  YUCATÁN</w:t>
      </w:r>
      <w:r>
        <w:rPr>
          <w:rFonts w:ascii="Century Gothic" w:eastAsia="Century Gothic" w:hAnsi="Century Gothic" w:cs="Century Gothic"/>
          <w:sz w:val="24"/>
          <w:szCs w:val="24"/>
        </w:rPr>
        <w:t>, PARA QUEDAR COMO SIGUE:</w:t>
      </w:r>
    </w:p>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VIGÉSIMO</w:t>
      </w:r>
    </w:p>
    <w:p w:rsidR="00F8402E" w:rsidRDefault="00F4774C">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DELITOS CONTRA LA VIDA E INTEGRIDAD CORPORAL</w:t>
      </w:r>
    </w:p>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w:t>
      </w:r>
    </w:p>
    <w:p w:rsidR="00F8402E" w:rsidRDefault="00F4774C">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Abandono de Personas</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352.- </w:t>
      </w:r>
      <w:r>
        <w:rPr>
          <w:rFonts w:ascii="Century Gothic" w:eastAsia="Century Gothic" w:hAnsi="Century Gothic" w:cs="Century Gothic"/>
          <w:sz w:val="24"/>
          <w:szCs w:val="24"/>
        </w:rPr>
        <w:t>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quien abandone a </w:t>
      </w:r>
      <w:r>
        <w:rPr>
          <w:rFonts w:ascii="Century Gothic" w:eastAsia="Century Gothic" w:hAnsi="Century Gothic" w:cs="Century Gothic"/>
          <w:b/>
          <w:sz w:val="24"/>
          <w:szCs w:val="24"/>
        </w:rPr>
        <w:t>una persona</w:t>
      </w:r>
      <w:r>
        <w:rPr>
          <w:rFonts w:ascii="Century Gothic" w:eastAsia="Century Gothic" w:hAnsi="Century Gothic" w:cs="Century Gothic"/>
          <w:sz w:val="24"/>
          <w:szCs w:val="24"/>
        </w:rPr>
        <w:t xml:space="preserve"> incapaz de cuidarse a sí mismo o a una persona enferma teniendo obligación de cuidarlos, se le impondrá de uno a cuatro años de prisión, independientemente de la sanción correspondiente a otro delito que resultare cometido, privándolo además de la patria potestad o de la tutela, si el imputado fuere ascendiente, </w:t>
      </w:r>
      <w:r>
        <w:rPr>
          <w:rFonts w:ascii="Century Gothic" w:eastAsia="Century Gothic" w:hAnsi="Century Gothic" w:cs="Century Gothic"/>
          <w:b/>
          <w:sz w:val="24"/>
          <w:szCs w:val="24"/>
        </w:rPr>
        <w:t>descendiente</w:t>
      </w:r>
      <w:r>
        <w:rPr>
          <w:rFonts w:ascii="Century Gothic" w:eastAsia="Century Gothic" w:hAnsi="Century Gothic" w:cs="Century Gothic"/>
          <w:sz w:val="24"/>
          <w:szCs w:val="24"/>
        </w:rPr>
        <w:t xml:space="preserve"> o tutor del ofendido.</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353.-</w:t>
      </w:r>
      <w:r>
        <w:rPr>
          <w:rFonts w:ascii="Century Gothic" w:eastAsia="Century Gothic" w:hAnsi="Century Gothic" w:cs="Century Gothic"/>
          <w:sz w:val="24"/>
          <w:szCs w:val="24"/>
        </w:rPr>
        <w:t xml:space="preserve"> A quien encuentre abandonado en cualquier sitio a </w:t>
      </w:r>
      <w:r>
        <w:rPr>
          <w:rFonts w:ascii="Century Gothic" w:eastAsia="Century Gothic" w:hAnsi="Century Gothic" w:cs="Century Gothic"/>
          <w:b/>
          <w:sz w:val="24"/>
          <w:szCs w:val="24"/>
        </w:rPr>
        <w:t>una persona</w:t>
      </w:r>
      <w:r>
        <w:rPr>
          <w:rFonts w:ascii="Century Gothic" w:eastAsia="Century Gothic" w:hAnsi="Century Gothic" w:cs="Century Gothic"/>
          <w:sz w:val="24"/>
          <w:szCs w:val="24"/>
        </w:rPr>
        <w:t xml:space="preserve"> incapaz de cuidarse a sí mismo o a una persona herida, inválida o amenazada de un peligro cualquiera y no diere aviso inmediato a la autoridad u omitiere prestarle el auxilio necesario, cuando pudiere hacerlo sin riesgo personal, se le impondrá de uno a seis meses de prisión o de diez a cien días-multa.</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355 Bis.- A la persona que embarace  a una mujer y por consecuencia, la abandone y no la provea de acuerdo a sus posibilidades y a las necesidades de </w:t>
      </w:r>
      <w:r>
        <w:rPr>
          <w:rFonts w:ascii="Century Gothic" w:eastAsia="Century Gothic" w:hAnsi="Century Gothic" w:cs="Century Gothic"/>
          <w:b/>
          <w:sz w:val="24"/>
          <w:szCs w:val="24"/>
        </w:rPr>
        <w:lastRenderedPageBreak/>
        <w:t>alimentación, habitación, salud y cuidados necesarios para ella y el producto de la concepción, se le impondrá de uno a cuatro años de prisión y de diez a cien días-multa.</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SEGUNDO.-</w:t>
      </w:r>
      <w:r>
        <w:rPr>
          <w:rFonts w:ascii="Century Gothic" w:eastAsia="Century Gothic" w:hAnsi="Century Gothic" w:cs="Century Gothic"/>
          <w:sz w:val="24"/>
          <w:szCs w:val="24"/>
        </w:rPr>
        <w:t xml:space="preserve"> SE REFORMA EL ARTÍCULO 34, SE ADICIONA LA FRACCIÓN VI BIS DEL ARTÍCULO 57, SE ADICIONA LA FRACCIÓN V BIS DEL ARTÍCULO 308 TODOS DEL </w:t>
      </w:r>
      <w:r>
        <w:rPr>
          <w:rFonts w:ascii="Century Gothic" w:eastAsia="Century Gothic" w:hAnsi="Century Gothic" w:cs="Century Gothic"/>
          <w:b/>
          <w:sz w:val="24"/>
          <w:szCs w:val="24"/>
        </w:rPr>
        <w:t>CÓDIGO DE FAMILIA DEL ESTADO DE YUCATÁN</w:t>
      </w:r>
      <w:r>
        <w:rPr>
          <w:rFonts w:ascii="Century Gothic" w:eastAsia="Century Gothic" w:hAnsi="Century Gothic" w:cs="Century Gothic"/>
          <w:sz w:val="24"/>
          <w:szCs w:val="24"/>
        </w:rPr>
        <w:t>, PARA QUEDAR COMO SIGUE:</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Obstáculos para la incorporación a la familia del deudor alimentario</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34. ….</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sz w:val="24"/>
          <w:szCs w:val="24"/>
        </w:rPr>
        <w:t>El juez no debe acceder a la petición de incorporación a la que alude el párrafo anterior, si existe un inconveniente legal para ello. En ese caso, determinará en atención al interés superior de quien pudiera o no ser incorporado a la familia del deudor alimentario</w:t>
      </w:r>
      <w:r>
        <w:rPr>
          <w:rFonts w:ascii="Century Gothic" w:eastAsia="Century Gothic" w:hAnsi="Century Gothic" w:cs="Century Gothic"/>
          <w:b/>
          <w:sz w:val="24"/>
          <w:szCs w:val="24"/>
        </w:rPr>
        <w:t>, tampoco lo podrá hacer cuando se existan indicios que se demuestren antecedentes de violencia familiar, de personalidad violenta o que pueda existir un riesgo hacia las personas acreedoras.</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En caso de que el deudor  o deudora alimentario no cumpla con el pago de la pensión alimenticia correspondiente, no podrá solicitar el cambio de guarda y custodia ni la pérdida y suspensión de la patria potestad.</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57. …</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I a la V…</w:t>
      </w:r>
      <w:proofErr w:type="gramStart"/>
      <w:r>
        <w:rPr>
          <w:rFonts w:ascii="Century Gothic" w:eastAsia="Century Gothic" w:hAnsi="Century Gothic" w:cs="Century Gothic"/>
          <w:b/>
          <w:sz w:val="24"/>
          <w:szCs w:val="24"/>
        </w:rPr>
        <w:t>..</w:t>
      </w:r>
      <w:proofErr w:type="gramEnd"/>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sz w:val="24"/>
          <w:szCs w:val="24"/>
        </w:rPr>
        <w:t>VI. La prevención y tratamiento de la violencia familiar, así como las instituciones y autoridades ante quienes puede acudirse</w:t>
      </w:r>
      <w:r>
        <w:rPr>
          <w:rFonts w:ascii="Century Gothic" w:eastAsia="Century Gothic" w:hAnsi="Century Gothic" w:cs="Century Gothic"/>
          <w:b/>
          <w:sz w:val="24"/>
          <w:szCs w:val="24"/>
          <w:u w:val="single"/>
        </w:rPr>
        <w:t>;</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VI BIS.- La información  de la existencia del Registro de Deudores Alimentarios Morosos de Yucatán, misma que los futuros contrayentes deberán de consultar, a efecto de conocer si alguna de ellas o ellos, se encuentran registrados en el mismo, y</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VII</w:t>
      </w:r>
      <w:proofErr w:type="gramStart"/>
      <w:r>
        <w:rPr>
          <w:rFonts w:ascii="Century Gothic" w:eastAsia="Century Gothic" w:hAnsi="Century Gothic" w:cs="Century Gothic"/>
          <w:b/>
          <w:sz w:val="24"/>
          <w:szCs w:val="24"/>
        </w:rPr>
        <w:t>. ….</w:t>
      </w:r>
      <w:proofErr w:type="gramEnd"/>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308. …</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 a la IV. … </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sz w:val="24"/>
          <w:szCs w:val="24"/>
        </w:rPr>
        <w:t>V. Por la exposición o abandono que hicieren de sus descendientes los titulares de este derecho, siempre que se prolongue por más de dos meses</w:t>
      </w:r>
      <w:r>
        <w:rPr>
          <w:rFonts w:ascii="Century Gothic" w:eastAsia="Century Gothic" w:hAnsi="Century Gothic" w:cs="Century Gothic"/>
          <w:b/>
          <w:sz w:val="24"/>
          <w:szCs w:val="24"/>
          <w:u w:val="single"/>
        </w:rPr>
        <w:t>;</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bookmarkStart w:id="1" w:name="_gjdgxs" w:colFirst="0" w:colLast="0"/>
      <w:bookmarkEnd w:id="1"/>
      <w:r>
        <w:rPr>
          <w:rFonts w:ascii="Century Gothic" w:eastAsia="Century Gothic" w:hAnsi="Century Gothic" w:cs="Century Gothic"/>
          <w:b/>
          <w:sz w:val="24"/>
          <w:szCs w:val="24"/>
        </w:rPr>
        <w:t>V. BIS. Por el incumplimiento de la obligación alimenticia por más de noventa días, sin causa justificada y</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roofErr w:type="gramStart"/>
      <w:r>
        <w:rPr>
          <w:rFonts w:ascii="Century Gothic" w:eastAsia="Century Gothic" w:hAnsi="Century Gothic" w:cs="Century Gothic"/>
          <w:b/>
          <w:sz w:val="24"/>
          <w:szCs w:val="24"/>
        </w:rPr>
        <w:t>VI.</w:t>
      </w:r>
      <w:proofErr w:type="gramEnd"/>
      <w:r>
        <w:rPr>
          <w:rFonts w:ascii="Century Gothic" w:eastAsia="Century Gothic" w:hAnsi="Century Gothic" w:cs="Century Gothic"/>
          <w:b/>
          <w:sz w:val="24"/>
          <w:szCs w:val="24"/>
        </w:rPr>
        <w:t xml:space="preserve"> …</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w:t>
      </w: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w:t>
      </w:r>
    </w:p>
    <w:p w:rsidR="00F8402E" w:rsidRDefault="00F8402E">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highlight w:val="yellow"/>
        </w:rPr>
      </w:pPr>
    </w:p>
    <w:p w:rsidR="00F8402E" w:rsidRDefault="00F4774C">
      <w:pPr>
        <w:pBdr>
          <w:top w:val="nil"/>
          <w:left w:val="nil"/>
          <w:bottom w:val="nil"/>
          <w:right w:val="nil"/>
          <w:between w:val="nil"/>
        </w:pBdr>
        <w:shd w:val="clear" w:color="auto" w:fill="FFFFFF"/>
        <w:spacing w:after="0" w:line="240" w:lineRule="auto"/>
        <w:ind w:right="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PRIMERO. - </w:t>
      </w:r>
      <w:r>
        <w:rPr>
          <w:rFonts w:ascii="Century Gothic" w:eastAsia="Century Gothic" w:hAnsi="Century Gothic" w:cs="Century Gothic"/>
          <w:sz w:val="24"/>
          <w:szCs w:val="24"/>
        </w:rPr>
        <w:t xml:space="preserve">El presente decreto entrará en vigor al día siguiente de su publicación en el Diario Oficial del Gobierno del  Estado de Yucatán. </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sz w:val="24"/>
          <w:szCs w:val="24"/>
        </w:rPr>
      </w:pPr>
    </w:p>
    <w:p w:rsidR="00F8402E" w:rsidRDefault="00F4774C">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SEGUNDO. </w:t>
      </w:r>
      <w:r>
        <w:rPr>
          <w:rFonts w:ascii="Century Gothic" w:eastAsia="Century Gothic" w:hAnsi="Century Gothic" w:cs="Century Gothic"/>
          <w:sz w:val="24"/>
          <w:szCs w:val="24"/>
        </w:rPr>
        <w:t>Se derogan las disposiciones de igual o menor jerarquía en lo que se opongan a lo establecido en este decreto.</w:t>
      </w:r>
    </w:p>
    <w:p w:rsidR="00F8402E" w:rsidRDefault="00F8402E">
      <w:pPr>
        <w:pBdr>
          <w:top w:val="nil"/>
          <w:left w:val="nil"/>
          <w:bottom w:val="nil"/>
          <w:right w:val="nil"/>
          <w:between w:val="nil"/>
        </w:pBdr>
        <w:shd w:val="clear" w:color="auto" w:fill="FFFFFF"/>
        <w:spacing w:after="0" w:line="240" w:lineRule="auto"/>
        <w:ind w:right="284"/>
        <w:jc w:val="both"/>
        <w:rPr>
          <w:rFonts w:ascii="Century Gothic" w:eastAsia="Century Gothic" w:hAnsi="Century Gothic" w:cs="Century Gothic"/>
          <w:b/>
          <w:sz w:val="24"/>
          <w:szCs w:val="24"/>
        </w:rPr>
      </w:pPr>
    </w:p>
    <w:p w:rsidR="00F8402E" w:rsidRDefault="00F4774C">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Protesto lo necesario, en la ciudad de Mérida, Yucatán a los 23 días del mes de noviembre del año 2022.</w:t>
      </w:r>
    </w:p>
    <w:p w:rsidR="00F8402E" w:rsidRDefault="00F8402E">
      <w:pPr>
        <w:pBdr>
          <w:top w:val="nil"/>
          <w:left w:val="nil"/>
          <w:bottom w:val="nil"/>
          <w:right w:val="nil"/>
          <w:between w:val="nil"/>
        </w:pBdr>
        <w:shd w:val="clear" w:color="auto" w:fill="FFFFFF"/>
        <w:spacing w:after="0" w:line="240" w:lineRule="auto"/>
        <w:ind w:right="284" w:firstLine="708"/>
        <w:jc w:val="both"/>
        <w:rPr>
          <w:rFonts w:ascii="Century Gothic" w:eastAsia="Century Gothic" w:hAnsi="Century Gothic" w:cs="Century Gothic"/>
          <w:sz w:val="24"/>
          <w:szCs w:val="24"/>
        </w:rPr>
      </w:pPr>
    </w:p>
    <w:p w:rsidR="00F8402E" w:rsidRDefault="00F8402E" w:rsidP="00A16E25">
      <w:pPr>
        <w:pBdr>
          <w:top w:val="nil"/>
          <w:left w:val="nil"/>
          <w:bottom w:val="nil"/>
          <w:right w:val="nil"/>
          <w:between w:val="nil"/>
        </w:pBdr>
        <w:shd w:val="clear" w:color="auto" w:fill="FFFFFF"/>
        <w:spacing w:after="0" w:line="240" w:lineRule="auto"/>
        <w:ind w:right="284" w:firstLine="708"/>
        <w:rPr>
          <w:rFonts w:ascii="Century Gothic" w:eastAsia="Century Gothic" w:hAnsi="Century Gothic" w:cs="Century Gothic"/>
          <w:sz w:val="24"/>
          <w:szCs w:val="24"/>
        </w:rPr>
      </w:pPr>
    </w:p>
    <w:p w:rsidR="00F8402E"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ATENTAMENTE                               </w:t>
      </w:r>
      <w:r w:rsidR="00E1141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  ATENTAMENTE</w:t>
      </w:r>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DIPUTADA                                        </w:t>
      </w:r>
      <w:r w:rsidR="00E1141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 DIPUTADA</w:t>
      </w:r>
    </w:p>
    <w:p w:rsidR="00A16E25" w:rsidRDefault="00E11416"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MELBA ROSANA </w:t>
      </w:r>
      <w:r w:rsidR="00A16E25">
        <w:rPr>
          <w:rFonts w:ascii="Century Gothic" w:eastAsia="Century Gothic" w:hAnsi="Century Gothic" w:cs="Century Gothic"/>
          <w:b/>
          <w:sz w:val="24"/>
          <w:szCs w:val="24"/>
        </w:rPr>
        <w:t xml:space="preserve">GAMBOA ÁVILA            </w:t>
      </w:r>
      <w:r>
        <w:rPr>
          <w:rFonts w:ascii="Century Gothic" w:eastAsia="Century Gothic" w:hAnsi="Century Gothic" w:cs="Century Gothic"/>
          <w:b/>
          <w:sz w:val="24"/>
          <w:szCs w:val="24"/>
        </w:rPr>
        <w:t>CARMEN GUADALUPE</w:t>
      </w:r>
      <w:r w:rsidR="00A16E25">
        <w:rPr>
          <w:rFonts w:ascii="Century Gothic" w:eastAsia="Century Gothic" w:hAnsi="Century Gothic" w:cs="Century Gothic"/>
          <w:b/>
          <w:sz w:val="24"/>
          <w:szCs w:val="24"/>
        </w:rPr>
        <w:t xml:space="preserve"> GONZÁLEZ MARTÍN</w:t>
      </w:r>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r w:rsidR="00E1141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ATENTAMENTE                     </w:t>
      </w:r>
      <w:r w:rsidR="00E1141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ATENTAMENTE</w:t>
      </w:r>
      <w:proofErr w:type="spellEnd"/>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p>
    <w:p w:rsid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r w:rsidR="00E1141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DIPUTADA                                                           </w:t>
      </w:r>
      <w:proofErr w:type="spellStart"/>
      <w:r>
        <w:rPr>
          <w:rFonts w:ascii="Century Gothic" w:eastAsia="Century Gothic" w:hAnsi="Century Gothic" w:cs="Century Gothic"/>
          <w:b/>
          <w:sz w:val="24"/>
          <w:szCs w:val="24"/>
        </w:rPr>
        <w:t>DIPUTADA</w:t>
      </w:r>
      <w:proofErr w:type="spellEnd"/>
    </w:p>
    <w:p w:rsidR="00A16E25" w:rsidRPr="00A16E25" w:rsidRDefault="00A16E25" w:rsidP="00A16E25">
      <w:pPr>
        <w:pBdr>
          <w:top w:val="nil"/>
          <w:left w:val="nil"/>
          <w:bottom w:val="nil"/>
          <w:right w:val="nil"/>
          <w:between w:val="nil"/>
        </w:pBdr>
        <w:shd w:val="clear" w:color="auto" w:fill="FFFFFF"/>
        <w:spacing w:after="0" w:line="240" w:lineRule="auto"/>
        <w:ind w:right="284"/>
        <w:rPr>
          <w:rFonts w:ascii="Century Gothic" w:eastAsia="Century Gothic" w:hAnsi="Century Gothic" w:cs="Century Gothic"/>
          <w:b/>
          <w:sz w:val="24"/>
          <w:szCs w:val="24"/>
        </w:rPr>
      </w:pPr>
      <w:r>
        <w:rPr>
          <w:rFonts w:ascii="Century Gothic" w:eastAsia="Century Gothic" w:hAnsi="Century Gothic" w:cs="Century Gothic"/>
          <w:b/>
          <w:sz w:val="24"/>
          <w:szCs w:val="24"/>
        </w:rPr>
        <w:t>DAFNE</w:t>
      </w:r>
      <w:r w:rsidR="00E11416">
        <w:rPr>
          <w:rFonts w:ascii="Century Gothic" w:eastAsia="Century Gothic" w:hAnsi="Century Gothic" w:cs="Century Gothic"/>
          <w:b/>
          <w:sz w:val="24"/>
          <w:szCs w:val="24"/>
        </w:rPr>
        <w:t xml:space="preserve"> CELINA</w:t>
      </w:r>
      <w:r>
        <w:rPr>
          <w:rFonts w:ascii="Century Gothic" w:eastAsia="Century Gothic" w:hAnsi="Century Gothic" w:cs="Century Gothic"/>
          <w:b/>
          <w:sz w:val="24"/>
          <w:szCs w:val="24"/>
        </w:rPr>
        <w:t xml:space="preserve"> LÓPEZ OSORIO</w:t>
      </w:r>
      <w:r w:rsidR="00E11416">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 MANUELA</w:t>
      </w:r>
      <w:r w:rsidR="00E11416">
        <w:rPr>
          <w:rFonts w:ascii="Century Gothic" w:eastAsia="Century Gothic" w:hAnsi="Century Gothic" w:cs="Century Gothic"/>
          <w:b/>
          <w:sz w:val="24"/>
          <w:szCs w:val="24"/>
        </w:rPr>
        <w:t xml:space="preserve"> DE JESÚS</w:t>
      </w:r>
      <w:r>
        <w:rPr>
          <w:rFonts w:ascii="Century Gothic" w:eastAsia="Century Gothic" w:hAnsi="Century Gothic" w:cs="Century Gothic"/>
          <w:b/>
          <w:sz w:val="24"/>
          <w:szCs w:val="24"/>
        </w:rPr>
        <w:t xml:space="preserve"> COCOM BOLIO</w:t>
      </w:r>
    </w:p>
    <w:p w:rsidR="00F8402E" w:rsidRDefault="00F8402E">
      <w:pPr>
        <w:spacing w:after="0" w:line="240" w:lineRule="auto"/>
        <w:ind w:right="284"/>
        <w:rPr>
          <w:rFonts w:ascii="Century Gothic" w:eastAsia="Century Gothic" w:hAnsi="Century Gothic" w:cs="Century Gothic"/>
          <w:b/>
          <w:sz w:val="18"/>
          <w:szCs w:val="18"/>
        </w:rPr>
      </w:pPr>
    </w:p>
    <w:p w:rsidR="00F8402E" w:rsidRDefault="00F4774C">
      <w:pPr>
        <w:spacing w:after="0" w:line="240" w:lineRule="auto"/>
        <w:ind w:right="284"/>
        <w:rPr>
          <w:rFonts w:ascii="Century Gothic" w:eastAsia="Century Gothic" w:hAnsi="Century Gothic" w:cs="Century Gothic"/>
          <w:color w:val="000000"/>
          <w:sz w:val="18"/>
          <w:szCs w:val="18"/>
          <w:highlight w:val="white"/>
        </w:rPr>
      </w:pPr>
      <w:proofErr w:type="spellStart"/>
      <w:r>
        <w:rPr>
          <w:rFonts w:ascii="Century Gothic" w:eastAsia="Century Gothic" w:hAnsi="Century Gothic" w:cs="Century Gothic"/>
          <w:b/>
          <w:sz w:val="18"/>
          <w:szCs w:val="18"/>
        </w:rPr>
        <w:t>C.c.p</w:t>
      </w:r>
      <w:proofErr w:type="spellEnd"/>
      <w:r>
        <w:rPr>
          <w:rFonts w:ascii="Century Gothic" w:eastAsia="Century Gothic" w:hAnsi="Century Gothic" w:cs="Century Gothic"/>
          <w:b/>
          <w:sz w:val="18"/>
          <w:szCs w:val="18"/>
        </w:rPr>
        <w:t xml:space="preserve">. </w:t>
      </w:r>
      <w:r>
        <w:rPr>
          <w:rFonts w:ascii="Century Gothic" w:eastAsia="Century Gothic" w:hAnsi="Century Gothic" w:cs="Century Gothic"/>
          <w:b/>
          <w:color w:val="000000"/>
          <w:sz w:val="18"/>
          <w:szCs w:val="18"/>
        </w:rPr>
        <w:t>Lic. Adrián Abelardo Anguiano Aguilar</w:t>
      </w:r>
      <w:r>
        <w:rPr>
          <w:rFonts w:ascii="Century Gothic" w:eastAsia="Century Gothic" w:hAnsi="Century Gothic" w:cs="Century Gothic"/>
          <w:color w:val="000000"/>
          <w:sz w:val="18"/>
          <w:szCs w:val="18"/>
          <w:highlight w:val="white"/>
        </w:rPr>
        <w:t xml:space="preserve">. </w:t>
      </w:r>
      <w:r>
        <w:rPr>
          <w:rFonts w:ascii="Century Gothic" w:eastAsia="Century Gothic" w:hAnsi="Century Gothic" w:cs="Century Gothic"/>
          <w:b/>
          <w:color w:val="000000"/>
          <w:sz w:val="18"/>
          <w:szCs w:val="18"/>
        </w:rPr>
        <w:t>Secretario General del H. Congreso del Estado de Yucatán.</w:t>
      </w:r>
    </w:p>
    <w:sectPr w:rsidR="00F8402E">
      <w:headerReference w:type="default" r:id="rId7"/>
      <w:footerReference w:type="default" r:id="rId8"/>
      <w:pgSz w:w="12240" w:h="15840"/>
      <w:pgMar w:top="3261" w:right="1183" w:bottom="1418" w:left="1418" w:header="567" w:footer="3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21" w:rsidRDefault="00A66E21">
      <w:pPr>
        <w:spacing w:after="0" w:line="240" w:lineRule="auto"/>
      </w:pPr>
      <w:r>
        <w:separator/>
      </w:r>
    </w:p>
  </w:endnote>
  <w:endnote w:type="continuationSeparator" w:id="0">
    <w:p w:rsidR="00A66E21" w:rsidRDefault="00A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2E" w:rsidRDefault="00F4774C">
    <w:pPr>
      <w:pBdr>
        <w:top w:val="nil"/>
        <w:left w:val="nil"/>
        <w:bottom w:val="nil"/>
        <w:right w:val="nil"/>
        <w:between w:val="nil"/>
      </w:pBdr>
      <w:tabs>
        <w:tab w:val="center" w:pos="4419"/>
        <w:tab w:val="right" w:pos="8838"/>
      </w:tabs>
      <w:spacing w:after="0" w:line="240" w:lineRule="auto"/>
      <w:jc w:val="center"/>
      <w:rPr>
        <w:color w:val="000000"/>
        <w:sz w:val="20"/>
        <w:szCs w:val="20"/>
      </w:rPr>
    </w:pPr>
    <w:r>
      <w:rPr>
        <w:color w:val="000000"/>
        <w:sz w:val="20"/>
        <w:szCs w:val="20"/>
      </w:rPr>
      <w:t xml:space="preserve">Periférico Poniente Tablaje Catastral 33083 Entre Fiscalía General del Estado y Silos </w:t>
    </w:r>
    <w:proofErr w:type="spellStart"/>
    <w:r>
      <w:rPr>
        <w:color w:val="000000"/>
        <w:sz w:val="20"/>
        <w:szCs w:val="20"/>
      </w:rPr>
      <w:t>Hidrogenadora</w:t>
    </w:r>
    <w:proofErr w:type="spellEnd"/>
    <w:r>
      <w:rPr>
        <w:color w:val="000000"/>
        <w:sz w:val="20"/>
        <w:szCs w:val="20"/>
      </w:rPr>
      <w:t xml:space="preserve"> Yucateca.</w:t>
    </w:r>
  </w:p>
  <w:p w:rsidR="00F8402E" w:rsidRDefault="00F4774C">
    <w:pPr>
      <w:pBdr>
        <w:top w:val="nil"/>
        <w:left w:val="nil"/>
        <w:bottom w:val="nil"/>
        <w:right w:val="nil"/>
        <w:between w:val="nil"/>
      </w:pBdr>
      <w:tabs>
        <w:tab w:val="center" w:pos="4419"/>
        <w:tab w:val="right" w:pos="8838"/>
        <w:tab w:val="center" w:pos="4961"/>
        <w:tab w:val="left" w:pos="8175"/>
      </w:tabs>
      <w:spacing w:after="0" w:line="240" w:lineRule="auto"/>
      <w:rPr>
        <w:color w:val="000000"/>
        <w:sz w:val="20"/>
        <w:szCs w:val="20"/>
      </w:rPr>
    </w:pPr>
    <w:r>
      <w:rPr>
        <w:color w:val="000000"/>
        <w:sz w:val="20"/>
        <w:szCs w:val="20"/>
      </w:rPr>
      <w:tab/>
      <w:t>Col. Juan Pablo II Alborada. C.P. 97246, Mérida, Yucatán.</w:t>
    </w:r>
    <w:r>
      <w:rPr>
        <w:color w:val="000000"/>
        <w:sz w:val="20"/>
        <w:szCs w:val="20"/>
      </w:rPr>
      <w:tab/>
    </w:r>
  </w:p>
  <w:p w:rsidR="00F8402E" w:rsidRDefault="00F4774C">
    <w:pPr>
      <w:pBdr>
        <w:top w:val="nil"/>
        <w:left w:val="nil"/>
        <w:bottom w:val="nil"/>
        <w:right w:val="nil"/>
        <w:between w:val="nil"/>
      </w:pBdr>
      <w:tabs>
        <w:tab w:val="center" w:pos="4419"/>
        <w:tab w:val="right" w:pos="8838"/>
      </w:tabs>
      <w:spacing w:after="0" w:line="240" w:lineRule="auto"/>
      <w:jc w:val="center"/>
      <w:rPr>
        <w:color w:val="000000"/>
        <w:sz w:val="20"/>
        <w:szCs w:val="20"/>
      </w:rPr>
    </w:pPr>
    <w:r>
      <w:rPr>
        <w:color w:val="000000"/>
        <w:sz w:val="20"/>
        <w:szCs w:val="20"/>
      </w:rPr>
      <w:t>Conmutador: 930-36-00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21" w:rsidRDefault="00A66E21">
      <w:pPr>
        <w:spacing w:after="0" w:line="240" w:lineRule="auto"/>
      </w:pPr>
      <w:r>
        <w:separator/>
      </w:r>
    </w:p>
  </w:footnote>
  <w:footnote w:type="continuationSeparator" w:id="0">
    <w:p w:rsidR="00A66E21" w:rsidRDefault="00A66E21">
      <w:pPr>
        <w:spacing w:after="0" w:line="240" w:lineRule="auto"/>
      </w:pPr>
      <w:r>
        <w:continuationSeparator/>
      </w:r>
    </w:p>
  </w:footnote>
  <w:footnote w:id="1">
    <w:p w:rsidR="00F8402E" w:rsidRDefault="00F477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Organización de las Naciones Unidas. (</w:t>
      </w:r>
      <w:proofErr w:type="spellStart"/>
      <w:r>
        <w:rPr>
          <w:color w:val="000000"/>
          <w:sz w:val="20"/>
          <w:szCs w:val="20"/>
        </w:rPr>
        <w:t>s.f</w:t>
      </w:r>
      <w:proofErr w:type="spellEnd"/>
      <w:r>
        <w:rPr>
          <w:color w:val="000000"/>
          <w:sz w:val="20"/>
          <w:szCs w:val="20"/>
        </w:rPr>
        <w:t xml:space="preserve">). La declaración </w:t>
      </w:r>
      <w:proofErr w:type="spellStart"/>
      <w:r>
        <w:rPr>
          <w:color w:val="000000"/>
          <w:sz w:val="20"/>
          <w:szCs w:val="20"/>
        </w:rPr>
        <w:t>tJniversal</w:t>
      </w:r>
      <w:proofErr w:type="spellEnd"/>
      <w:r>
        <w:rPr>
          <w:color w:val="000000"/>
          <w:sz w:val="20"/>
          <w:szCs w:val="20"/>
        </w:rPr>
        <w:t xml:space="preserve"> de Derechos Humanos. Recuperado de: https://www.un.org/es/universal-declaration-human-rights/</w:t>
      </w:r>
    </w:p>
  </w:footnote>
  <w:footnote w:id="2">
    <w:p w:rsidR="00F8402E" w:rsidRDefault="00F4774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García López, D. S. et al. (2019): “Definiendo la masculinidad en el Siglo XXI” en Revista </w:t>
      </w:r>
      <w:proofErr w:type="spellStart"/>
      <w:r>
        <w:rPr>
          <w:color w:val="000000"/>
          <w:sz w:val="20"/>
          <w:szCs w:val="20"/>
        </w:rPr>
        <w:t>Akademía</w:t>
      </w:r>
      <w:proofErr w:type="spellEnd"/>
      <w:r>
        <w:rPr>
          <w:color w:val="000000"/>
          <w:sz w:val="20"/>
          <w:szCs w:val="20"/>
        </w:rPr>
        <w:t>, vol. 2, núm. 1, 147-168.</w:t>
      </w:r>
    </w:p>
  </w:footnote>
  <w:footnote w:id="3">
    <w:p w:rsidR="00F8402E" w:rsidRDefault="00F4774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Población con discapacidad, con limitación en la actividad cotidiana y con algún problema o condición mental, por entidad federativa y grupo quinquenal de edad según sexo, 2020. Recuperado de: https://www.inegi.org.mx/app/tabulados/interactivos/?px=Discapacidad_01&amp;bd=Discapacidad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2E" w:rsidRDefault="00F4774C">
    <w:pPr>
      <w:rPr>
        <w:sz w:val="18"/>
        <w:szCs w:val="18"/>
      </w:rPr>
    </w:pPr>
    <w:r>
      <w:rPr>
        <w:noProof/>
        <w:sz w:val="18"/>
        <w:szCs w:val="18"/>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02802" w:rsidRDefault="00F4774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63B20" w:rsidRPr="00163B20">
                                <w:rPr>
                                  <w:rFonts w:asciiTheme="majorHAnsi" w:eastAsiaTheme="majorEastAsia" w:hAnsiTheme="majorHAnsi" w:cstheme="majorBidi"/>
                                  <w:noProof/>
                                  <w:sz w:val="48"/>
                                  <w:szCs w:val="48"/>
                                  <w:lang w:val="es-ES"/>
                                </w:rPr>
                                <w:t>12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id="Rectángulo 1" o:spid="_x0000_s1026" style="position:absolute;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A9kpwoCAADyAwAADgAA&#10;AAAAAAAAAAAAAAAuAgAAZHJzL2Uyb0RvYy54bWxQSwECLQAUAAYACAAAACEAbNUf09kAAAAFAQAA&#10;DwAAAAAAAAAAAAAAAABkBAAAZHJzL2Rvd25yZXYueG1sUEsFBgAAAAAEAAQA8wAAAGoFAAAAAA==&#10;"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B02802" w:rsidRDefault="00F4774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63B20" w:rsidRPr="00163B20">
                          <w:rPr>
                            <w:rFonts w:asciiTheme="majorHAnsi" w:eastAsiaTheme="majorEastAsia" w:hAnsiTheme="majorHAnsi" w:cstheme="majorBidi"/>
                            <w:noProof/>
                            <w:sz w:val="48"/>
                            <w:szCs w:val="48"/>
                            <w:lang w:val="es-ES"/>
                          </w:rPr>
                          <w:t>12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0" locked="0" layoutInCell="1" hidden="0" allowOverlap="1">
          <wp:simplePos x="0" y="0"/>
          <wp:positionH relativeFrom="column">
            <wp:posOffset>4709795</wp:posOffset>
          </wp:positionH>
          <wp:positionV relativeFrom="paragraph">
            <wp:posOffset>163830</wp:posOffset>
          </wp:positionV>
          <wp:extent cx="1381125" cy="1381125"/>
          <wp:effectExtent l="0" t="0" r="0" b="0"/>
          <wp:wrapSquare wrapText="bothSides" distT="0" distB="0" distL="114300" distR="114300"/>
          <wp:docPr id="2" name="image1.png" descr="Archivo:PAN logo (Mexico).svg"/>
          <wp:cNvGraphicFramePr/>
          <a:graphic xmlns:a="http://schemas.openxmlformats.org/drawingml/2006/main">
            <a:graphicData uri="http://schemas.openxmlformats.org/drawingml/2006/picture">
              <pic:pic xmlns:pic="http://schemas.openxmlformats.org/drawingml/2006/picture">
                <pic:nvPicPr>
                  <pic:cNvPr id="0" name="image1.png" descr="Archivo:PAN logo (Mexico).svg"/>
                  <pic:cNvPicPr preferRelativeResize="0"/>
                </pic:nvPicPr>
                <pic:blipFill>
                  <a:blip r:embed="rId1"/>
                  <a:srcRect/>
                  <a:stretch>
                    <a:fillRect/>
                  </a:stretch>
                </pic:blipFill>
                <pic:spPr>
                  <a:xfrm>
                    <a:off x="0" y="0"/>
                    <a:ext cx="1381125" cy="13811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9283B"/>
    <w:multiLevelType w:val="multilevel"/>
    <w:tmpl w:val="2E64F90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E"/>
    <w:rsid w:val="00163B20"/>
    <w:rsid w:val="00225903"/>
    <w:rsid w:val="007B7C88"/>
    <w:rsid w:val="00A16E25"/>
    <w:rsid w:val="00A66E21"/>
    <w:rsid w:val="00A92AD3"/>
    <w:rsid w:val="00AD26C9"/>
    <w:rsid w:val="00E11416"/>
    <w:rsid w:val="00F4774C"/>
    <w:rsid w:val="00F840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415E3-28DE-49AE-B069-6F217523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AD26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3523</Words>
  <Characters>19379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Diputados6</dc:creator>
  <cp:lastModifiedBy>Diputados6</cp:lastModifiedBy>
  <cp:revision>7</cp:revision>
  <cp:lastPrinted>2022-11-23T17:07:00Z</cp:lastPrinted>
  <dcterms:created xsi:type="dcterms:W3CDTF">2022-11-23T15:37:00Z</dcterms:created>
  <dcterms:modified xsi:type="dcterms:W3CDTF">2022-11-23T17:32:00Z</dcterms:modified>
</cp:coreProperties>
</file>